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EC" w:rsidRDefault="004128EC" w:rsidP="004128EC">
      <w:pPr>
        <w:spacing w:line="276" w:lineRule="auto"/>
        <w:rPr>
          <w:rFonts w:ascii="Garamond" w:hAnsi="Garamond"/>
          <w:i/>
          <w:sz w:val="28"/>
          <w:szCs w:val="24"/>
          <w:lang w:val="en-US"/>
        </w:rPr>
      </w:pPr>
      <w:proofErr w:type="gramStart"/>
      <w:r w:rsidRPr="00263EA5">
        <w:rPr>
          <w:rFonts w:ascii="Garamond" w:hAnsi="Garamond"/>
          <w:b/>
          <w:sz w:val="28"/>
          <w:szCs w:val="24"/>
          <w:lang w:val="en-US"/>
        </w:rPr>
        <w:t>Document :</w:t>
      </w:r>
      <w:proofErr w:type="gramEnd"/>
      <w:r w:rsidRPr="00263EA5">
        <w:rPr>
          <w:rFonts w:ascii="Garamond" w:hAnsi="Garamond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4"/>
          <w:lang w:val="en-US"/>
        </w:rPr>
        <w:t>Philibert</w:t>
      </w:r>
      <w:proofErr w:type="spellEnd"/>
      <w:r w:rsidRPr="00263EA5">
        <w:rPr>
          <w:rFonts w:ascii="Garamond" w:hAnsi="Garamond"/>
          <w:sz w:val="28"/>
          <w:szCs w:val="24"/>
          <w:lang w:val="en-US"/>
        </w:rPr>
        <w:t xml:space="preserve"> C. ;</w:t>
      </w:r>
      <w:r>
        <w:rPr>
          <w:rFonts w:ascii="Garamond" w:hAnsi="Garamond"/>
          <w:sz w:val="28"/>
          <w:szCs w:val="24"/>
          <w:lang w:val="en-US"/>
        </w:rPr>
        <w:t xml:space="preserve"> 2009, France</w:t>
      </w:r>
      <w:r w:rsidRPr="00263EA5">
        <w:rPr>
          <w:rFonts w:ascii="Garamond" w:hAnsi="Garamond"/>
          <w:sz w:val="28"/>
          <w:szCs w:val="24"/>
          <w:lang w:val="en-US"/>
        </w:rPr>
        <w:t xml:space="preserve">, </w:t>
      </w:r>
      <w:r w:rsidRPr="00263EA5">
        <w:rPr>
          <w:rFonts w:ascii="Garamond" w:hAnsi="Garamond"/>
          <w:i/>
          <w:sz w:val="28"/>
          <w:szCs w:val="24"/>
          <w:lang w:val="en-US"/>
        </w:rPr>
        <w:t>“ </w:t>
      </w:r>
      <w:r w:rsidRPr="004128EC">
        <w:rPr>
          <w:rStyle w:val="Stile1Carattere"/>
        </w:rPr>
        <w:t>Assessing the value of price caps and floors</w:t>
      </w:r>
      <w:r w:rsidRPr="00263EA5">
        <w:rPr>
          <w:rFonts w:ascii="Garamond" w:hAnsi="Garamond"/>
          <w:i/>
          <w:sz w:val="28"/>
          <w:szCs w:val="24"/>
          <w:lang w:val="en-US"/>
        </w:rPr>
        <w:t xml:space="preserve">”, </w:t>
      </w:r>
      <w:r>
        <w:rPr>
          <w:rFonts w:ascii="Garamond" w:hAnsi="Garamond"/>
          <w:i/>
          <w:sz w:val="28"/>
          <w:szCs w:val="24"/>
          <w:lang w:val="en-US"/>
        </w:rPr>
        <w:t>Climate Policy 9 (2009), International Energy Agency.</w:t>
      </w:r>
    </w:p>
    <w:p w:rsidR="004128EC" w:rsidRDefault="004128EC" w:rsidP="004128EC">
      <w:p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article assesses the long term economic and climatic effects of introducing price caps and price floors in a global climate change mitigation policy. </w:t>
      </w:r>
    </w:p>
    <w:p w:rsidR="000262B1" w:rsidRDefault="000262B1" w:rsidP="004128EC">
      <w:p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The main focus of the paper is forecasting the</w:t>
      </w:r>
      <w:r w:rsidR="00976200">
        <w:rPr>
          <w:rFonts w:ascii="Garamond" w:hAnsi="Garamond"/>
          <w:sz w:val="24"/>
          <w:szCs w:val="24"/>
          <w:lang w:val="en-US"/>
        </w:rPr>
        <w:t xml:space="preserve"> economic cost and the GHG reduction efficiency</w:t>
      </w:r>
      <w:r>
        <w:rPr>
          <w:rFonts w:ascii="Garamond" w:hAnsi="Garamond"/>
          <w:sz w:val="24"/>
          <w:szCs w:val="24"/>
          <w:lang w:val="en-US"/>
        </w:rPr>
        <w:t xml:space="preserve"> of several greenhouse gases mitigation strategies. According to the statistical models described in the article </w:t>
      </w:r>
      <w:r w:rsidR="00A020E1">
        <w:rPr>
          <w:rFonts w:ascii="Garamond" w:hAnsi="Garamond"/>
          <w:sz w:val="24"/>
          <w:szCs w:val="24"/>
          <w:lang w:val="en-US"/>
        </w:rPr>
        <w:t>the general conclusion is that carbon price caps and floors are useful in order to both obtaining more ambitious results (in GHG reduction) and developing new technologies.</w:t>
      </w:r>
    </w:p>
    <w:p w:rsidR="00612ADD" w:rsidRPr="0092376D" w:rsidRDefault="00612ADD" w:rsidP="00612ADD">
      <w:pPr>
        <w:spacing w:line="276" w:lineRule="auto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Arguments for and against a minimum carbon price (price floor)</w:t>
      </w:r>
    </w:p>
    <w:tbl>
      <w:tblPr>
        <w:tblStyle w:val="Grigliatabella"/>
        <w:tblW w:w="0" w:type="auto"/>
        <w:tblLook w:val="04A0"/>
      </w:tblPr>
      <w:tblGrid>
        <w:gridCol w:w="4606"/>
        <w:gridCol w:w="4606"/>
      </w:tblGrid>
      <w:tr w:rsidR="00612ADD" w:rsidRPr="00614771" w:rsidTr="003319D8">
        <w:tc>
          <w:tcPr>
            <w:tcW w:w="4606" w:type="dxa"/>
          </w:tcPr>
          <w:p w:rsidR="00612ADD" w:rsidRPr="00614771" w:rsidRDefault="00612ADD" w:rsidP="003319D8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614771">
              <w:rPr>
                <w:rFonts w:ascii="Garamond" w:hAnsi="Garamond"/>
                <w:b/>
                <w:lang w:val="en-US"/>
              </w:rPr>
              <w:t>FOR</w:t>
            </w:r>
          </w:p>
        </w:tc>
        <w:tc>
          <w:tcPr>
            <w:tcW w:w="4606" w:type="dxa"/>
          </w:tcPr>
          <w:p w:rsidR="00612ADD" w:rsidRPr="00614771" w:rsidRDefault="00612ADD" w:rsidP="003319D8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614771">
              <w:rPr>
                <w:rFonts w:ascii="Garamond" w:hAnsi="Garamond"/>
                <w:b/>
                <w:lang w:val="en-US"/>
              </w:rPr>
              <w:t>AGAINST</w:t>
            </w:r>
          </w:p>
        </w:tc>
      </w:tr>
      <w:tr w:rsidR="00612ADD" w:rsidRPr="00612ADD" w:rsidTr="003319D8">
        <w:tc>
          <w:tcPr>
            <w:tcW w:w="4606" w:type="dxa"/>
          </w:tcPr>
          <w:p w:rsidR="00612ADD" w:rsidRPr="0080066C" w:rsidRDefault="00612ADD" w:rsidP="0080066C">
            <w:pPr>
              <w:autoSpaceDE w:val="0"/>
              <w:autoSpaceDN w:val="0"/>
              <w:adjustRightInd w:val="0"/>
              <w:spacing w:beforeAutospacing="0"/>
              <w:rPr>
                <w:rFonts w:ascii="StoneSerif" w:hAnsi="StoneSerif" w:cs="StoneSerif"/>
                <w:sz w:val="19"/>
                <w:szCs w:val="19"/>
                <w:lang w:val="en-US"/>
              </w:rPr>
            </w:pPr>
            <w:r>
              <w:rPr>
                <w:rFonts w:ascii="Garamond" w:hAnsi="Garamond"/>
                <w:lang w:val="en-US"/>
              </w:rPr>
              <w:t>“</w:t>
            </w:r>
            <w:r w:rsidR="0080066C" w:rsidRPr="0080066C">
              <w:rPr>
                <w:rFonts w:ascii="StoneSerif" w:hAnsi="StoneSerif" w:cs="StoneSerif"/>
                <w:sz w:val="19"/>
                <w:szCs w:val="19"/>
                <w:lang w:val="en-US"/>
              </w:rPr>
              <w:t xml:space="preserve">Price floors would help maintain, in probabilistic terms, the </w:t>
            </w:r>
            <w:r w:rsidR="0080066C">
              <w:rPr>
                <w:rFonts w:ascii="StoneSerif" w:hAnsi="StoneSerif" w:cs="StoneSerif"/>
                <w:sz w:val="19"/>
                <w:szCs w:val="19"/>
                <w:lang w:val="en-US"/>
              </w:rPr>
              <w:t xml:space="preserve">emission outcomes of mitigation </w:t>
            </w:r>
            <w:r w:rsidR="0080066C" w:rsidRPr="0080066C">
              <w:rPr>
                <w:rFonts w:ascii="StoneSerif" w:hAnsi="StoneSerif" w:cs="StoneSerif"/>
                <w:sz w:val="19"/>
                <w:szCs w:val="19"/>
                <w:lang w:val="en-US"/>
              </w:rPr>
              <w:t>policies, and would have long-lasting effects on abatement costs through technology development</w:t>
            </w:r>
            <w:r w:rsidR="0080066C">
              <w:rPr>
                <w:rFonts w:ascii="StoneSerif" w:hAnsi="StoneSerif" w:cs="StoneSerif"/>
                <w:sz w:val="19"/>
                <w:szCs w:val="19"/>
                <w:lang w:val="en-US"/>
              </w:rPr>
              <w:t>” (see page 613)</w:t>
            </w:r>
          </w:p>
        </w:tc>
        <w:tc>
          <w:tcPr>
            <w:tcW w:w="4606" w:type="dxa"/>
          </w:tcPr>
          <w:p w:rsidR="00612ADD" w:rsidRDefault="00A020E1" w:rsidP="0080066C">
            <w:pPr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*</w:t>
            </w:r>
          </w:p>
        </w:tc>
      </w:tr>
      <w:tr w:rsidR="00612ADD" w:rsidTr="003319D8">
        <w:tc>
          <w:tcPr>
            <w:tcW w:w="4606" w:type="dxa"/>
          </w:tcPr>
          <w:p w:rsidR="00612ADD" w:rsidRPr="00BF2F73" w:rsidRDefault="00BF2F73" w:rsidP="00BF2F73">
            <w:pPr>
              <w:autoSpaceDE w:val="0"/>
              <w:autoSpaceDN w:val="0"/>
              <w:adjustRightInd w:val="0"/>
              <w:spacing w:beforeAutospacing="0"/>
              <w:rPr>
                <w:rFonts w:ascii="StoneSerif" w:hAnsi="StoneSerif" w:cs="StoneSerif"/>
                <w:sz w:val="19"/>
                <w:szCs w:val="19"/>
                <w:lang w:val="en-US"/>
              </w:rPr>
            </w:pPr>
            <w:r>
              <w:rPr>
                <w:rFonts w:ascii="Garamond" w:hAnsi="Garamond"/>
                <w:lang w:val="en-US"/>
              </w:rPr>
              <w:t>“</w:t>
            </w:r>
            <w:r w:rsidRPr="00BF2F73">
              <w:rPr>
                <w:rFonts w:ascii="StoneSerif" w:hAnsi="StoneSerif" w:cs="StoneSerif"/>
                <w:sz w:val="19"/>
                <w:szCs w:val="19"/>
                <w:lang w:val="en-US"/>
              </w:rPr>
              <w:t xml:space="preserve">Targets, price caps and price floors might thus </w:t>
            </w:r>
            <w:r>
              <w:rPr>
                <w:rFonts w:ascii="StoneSerif" w:hAnsi="StoneSerif" w:cs="StoneSerif"/>
                <w:sz w:val="19"/>
                <w:szCs w:val="19"/>
                <w:lang w:val="en-US"/>
              </w:rPr>
              <w:t xml:space="preserve">possibly be arranged to lead to </w:t>
            </w:r>
            <w:r w:rsidRPr="00BF2F73">
              <w:rPr>
                <w:rFonts w:ascii="StoneSerif" w:hAnsi="StoneSerif" w:cs="StoneSerif"/>
                <w:sz w:val="19"/>
                <w:szCs w:val="19"/>
                <w:lang w:val="en-US"/>
              </w:rPr>
              <w:t>similar or even better climate results, in probabilistic terms, than rigi</w:t>
            </w:r>
            <w:r>
              <w:rPr>
                <w:rFonts w:ascii="StoneSerif" w:hAnsi="StoneSerif" w:cs="StoneSerif"/>
                <w:sz w:val="19"/>
                <w:szCs w:val="19"/>
                <w:lang w:val="en-US"/>
              </w:rPr>
              <w:t xml:space="preserve">d targets, while still reducing </w:t>
            </w:r>
            <w:r w:rsidRPr="00BF2F73">
              <w:rPr>
                <w:rFonts w:ascii="StoneSerif" w:hAnsi="StoneSerif" w:cs="StoneSerif"/>
                <w:sz w:val="19"/>
                <w:szCs w:val="19"/>
                <w:lang w:val="en-US"/>
              </w:rPr>
              <w:t>expected costs</w:t>
            </w:r>
            <w:r>
              <w:rPr>
                <w:rFonts w:ascii="StoneSerif" w:hAnsi="StoneSerif" w:cs="StoneSerif"/>
                <w:sz w:val="19"/>
                <w:szCs w:val="19"/>
                <w:lang w:val="en-US"/>
              </w:rPr>
              <w:t>” (see page 613)</w:t>
            </w:r>
          </w:p>
        </w:tc>
        <w:tc>
          <w:tcPr>
            <w:tcW w:w="4606" w:type="dxa"/>
          </w:tcPr>
          <w:p w:rsidR="00612ADD" w:rsidRDefault="00A020E1" w:rsidP="003319D8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*</w:t>
            </w:r>
          </w:p>
        </w:tc>
      </w:tr>
      <w:tr w:rsidR="000262B1" w:rsidRPr="000262B1" w:rsidTr="003319D8">
        <w:tc>
          <w:tcPr>
            <w:tcW w:w="4606" w:type="dxa"/>
          </w:tcPr>
          <w:p w:rsidR="000262B1" w:rsidRPr="000262B1" w:rsidRDefault="000262B1" w:rsidP="000262B1">
            <w:pPr>
              <w:autoSpaceDE w:val="0"/>
              <w:autoSpaceDN w:val="0"/>
              <w:adjustRightInd w:val="0"/>
              <w:spacing w:beforeAutospacing="0"/>
              <w:rPr>
                <w:rFonts w:ascii="StoneSerif" w:hAnsi="StoneSerif" w:cs="StoneSerif"/>
                <w:sz w:val="19"/>
                <w:szCs w:val="19"/>
                <w:lang w:val="en-US"/>
              </w:rPr>
            </w:pPr>
            <w:r>
              <w:rPr>
                <w:rFonts w:ascii="Garamond" w:hAnsi="Garamond"/>
                <w:lang w:val="en-US"/>
              </w:rPr>
              <w:t>“</w:t>
            </w:r>
            <w:r w:rsidRPr="000262B1">
              <w:rPr>
                <w:rFonts w:ascii="StoneSerif" w:hAnsi="StoneSerif" w:cs="StoneSerif"/>
                <w:sz w:val="19"/>
                <w:szCs w:val="19"/>
                <w:lang w:val="en-US"/>
              </w:rPr>
              <w:t>Price floors increase the costs attached to</w:t>
            </w:r>
          </w:p>
          <w:p w:rsidR="000262B1" w:rsidRDefault="000262B1" w:rsidP="000262B1">
            <w:pPr>
              <w:autoSpaceDE w:val="0"/>
              <w:autoSpaceDN w:val="0"/>
              <w:adjustRightInd w:val="0"/>
              <w:spacing w:beforeAutospacing="0"/>
              <w:rPr>
                <w:rFonts w:ascii="Garamond" w:hAnsi="Garamond"/>
                <w:lang w:val="en-US"/>
              </w:rPr>
            </w:pPr>
            <w:r w:rsidRPr="000262B1">
              <w:rPr>
                <w:rFonts w:ascii="StoneSerif" w:hAnsi="StoneSerif" w:cs="StoneSerif"/>
                <w:sz w:val="19"/>
                <w:szCs w:val="19"/>
                <w:lang w:val="en-US"/>
              </w:rPr>
              <w:t>some targets, but contribute to keeping the costs low in achieving a given environmental result</w:t>
            </w:r>
            <w:r>
              <w:rPr>
                <w:rFonts w:ascii="Garamond" w:hAnsi="Garamond"/>
                <w:lang w:val="en-US"/>
              </w:rPr>
              <w:t xml:space="preserve">” – </w:t>
            </w:r>
          </w:p>
          <w:p w:rsidR="000262B1" w:rsidRPr="000262B1" w:rsidRDefault="000262B1" w:rsidP="000262B1">
            <w:pPr>
              <w:autoSpaceDE w:val="0"/>
              <w:autoSpaceDN w:val="0"/>
              <w:adjustRightInd w:val="0"/>
              <w:spacing w:beforeAutospacing="0"/>
              <w:rPr>
                <w:rFonts w:ascii="StoneSerif" w:hAnsi="StoneSerif" w:cs="StoneSerif"/>
                <w:sz w:val="19"/>
                <w:szCs w:val="19"/>
                <w:lang w:val="en-US"/>
              </w:rPr>
            </w:pPr>
            <w:r>
              <w:rPr>
                <w:rFonts w:ascii="StoneSerif" w:hAnsi="StoneSerif" w:cs="StoneSerif"/>
                <w:sz w:val="19"/>
                <w:szCs w:val="19"/>
                <w:lang w:val="en-US"/>
              </w:rPr>
              <w:t>“</w:t>
            </w:r>
            <w:r w:rsidRPr="000262B1">
              <w:rPr>
                <w:rFonts w:ascii="StoneSerif" w:hAnsi="StoneSerif" w:cs="StoneSerif"/>
                <w:sz w:val="19"/>
                <w:szCs w:val="19"/>
                <w:lang w:val="en-US"/>
              </w:rPr>
              <w:t>Tighter targets with price caps and price floors entail lesser economic risks and similar or slightly</w:t>
            </w:r>
          </w:p>
          <w:p w:rsidR="000262B1" w:rsidRDefault="000262B1" w:rsidP="000262B1">
            <w:pPr>
              <w:autoSpaceDE w:val="0"/>
              <w:autoSpaceDN w:val="0"/>
              <w:adjustRightInd w:val="0"/>
              <w:spacing w:beforeAutospacing="0"/>
              <w:rPr>
                <w:rFonts w:ascii="Garamond" w:hAnsi="Garamond"/>
                <w:lang w:val="en-US"/>
              </w:rPr>
            </w:pPr>
            <w:r w:rsidRPr="000262B1">
              <w:rPr>
                <w:rFonts w:ascii="StoneSerif" w:hAnsi="StoneSerif" w:cs="StoneSerif"/>
                <w:sz w:val="19"/>
                <w:szCs w:val="19"/>
                <w:lang w:val="en-US"/>
              </w:rPr>
              <w:t>better climate results</w:t>
            </w:r>
            <w:r>
              <w:rPr>
                <w:rFonts w:ascii="StoneSerif" w:hAnsi="StoneSerif" w:cs="StoneSerif"/>
                <w:sz w:val="19"/>
                <w:szCs w:val="19"/>
                <w:lang w:val="en-US"/>
              </w:rPr>
              <w:t>”</w:t>
            </w:r>
            <w:r>
              <w:rPr>
                <w:rFonts w:ascii="Garamond" w:hAnsi="Garamond"/>
                <w:lang w:val="en-US"/>
              </w:rPr>
              <w:t xml:space="preserve"> (see page </w:t>
            </w:r>
          </w:p>
        </w:tc>
        <w:tc>
          <w:tcPr>
            <w:tcW w:w="4606" w:type="dxa"/>
          </w:tcPr>
          <w:p w:rsidR="000262B1" w:rsidRDefault="00A020E1" w:rsidP="003319D8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*</w:t>
            </w:r>
          </w:p>
        </w:tc>
      </w:tr>
    </w:tbl>
    <w:p w:rsidR="00612ADD" w:rsidRDefault="00612ADD" w:rsidP="004128EC">
      <w:pPr>
        <w:spacing w:line="276" w:lineRule="auto"/>
        <w:rPr>
          <w:rFonts w:ascii="Garamond" w:hAnsi="Garamond"/>
          <w:sz w:val="24"/>
          <w:szCs w:val="24"/>
          <w:lang w:val="en-US"/>
        </w:rPr>
      </w:pPr>
    </w:p>
    <w:p w:rsidR="00612ADD" w:rsidRPr="004128EC" w:rsidRDefault="00612ADD" w:rsidP="004128EC">
      <w:pPr>
        <w:spacing w:line="276" w:lineRule="auto"/>
        <w:rPr>
          <w:rFonts w:ascii="Garamond" w:hAnsi="Garamond"/>
          <w:sz w:val="24"/>
          <w:szCs w:val="24"/>
          <w:lang w:val="en-US"/>
        </w:rPr>
      </w:pPr>
    </w:p>
    <w:p w:rsidR="004128EC" w:rsidRPr="00263EA5" w:rsidRDefault="004128EC" w:rsidP="004128EC">
      <w:pPr>
        <w:spacing w:line="276" w:lineRule="auto"/>
        <w:rPr>
          <w:rFonts w:ascii="Garamond" w:hAnsi="Garamond"/>
          <w:i/>
          <w:sz w:val="28"/>
          <w:szCs w:val="24"/>
          <w:lang w:val="en-US"/>
        </w:rPr>
      </w:pPr>
    </w:p>
    <w:p w:rsidR="00037759" w:rsidRPr="004128EC" w:rsidRDefault="00976200">
      <w:pPr>
        <w:rPr>
          <w:lang w:val="en-US"/>
        </w:rPr>
      </w:pPr>
    </w:p>
    <w:sectPr w:rsidR="00037759" w:rsidRPr="004128EC" w:rsidSect="008E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28EC"/>
    <w:rsid w:val="000262B1"/>
    <w:rsid w:val="004128EC"/>
    <w:rsid w:val="00612ADD"/>
    <w:rsid w:val="00745ABC"/>
    <w:rsid w:val="0080066C"/>
    <w:rsid w:val="008B7C1C"/>
    <w:rsid w:val="008E13AB"/>
    <w:rsid w:val="00976200"/>
    <w:rsid w:val="00A020E1"/>
    <w:rsid w:val="00BF2F73"/>
    <w:rsid w:val="00C3392D"/>
    <w:rsid w:val="00CA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4128EC"/>
    <w:pPr>
      <w:spacing w:line="276" w:lineRule="auto"/>
    </w:pPr>
    <w:rPr>
      <w:rFonts w:ascii="Garamond" w:hAnsi="Garamond"/>
      <w:i/>
      <w:sz w:val="28"/>
      <w:szCs w:val="24"/>
      <w:u w:val="single"/>
      <w:lang w:val="en-US"/>
    </w:rPr>
  </w:style>
  <w:style w:type="table" w:styleId="Grigliatabella">
    <w:name w:val="Table Grid"/>
    <w:basedOn w:val="Tabellanormale"/>
    <w:uiPriority w:val="59"/>
    <w:rsid w:val="00612AD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1Carattere">
    <w:name w:val="Stile1 Carattere"/>
    <w:basedOn w:val="Carpredefinitoparagrafo"/>
    <w:link w:val="Stile1"/>
    <w:rsid w:val="004128EC"/>
    <w:rPr>
      <w:rFonts w:ascii="Garamond" w:hAnsi="Garamond"/>
      <w:i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5</cp:revision>
  <dcterms:created xsi:type="dcterms:W3CDTF">2016-04-26T09:02:00Z</dcterms:created>
  <dcterms:modified xsi:type="dcterms:W3CDTF">2016-04-26T12:54:00Z</dcterms:modified>
</cp:coreProperties>
</file>