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BB" w:rsidRDefault="006972BB">
      <w:pPr>
        <w:rPr>
          <w:sz w:val="32"/>
          <w:szCs w:val="32"/>
        </w:rPr>
      </w:pPr>
    </w:p>
    <w:p w:rsidR="00F422A4" w:rsidRDefault="00F422A4">
      <w:pPr>
        <w:rPr>
          <w:sz w:val="32"/>
          <w:szCs w:val="32"/>
        </w:rPr>
      </w:pPr>
    </w:p>
    <w:p w:rsidR="00F422A4" w:rsidRDefault="00F422A4">
      <w:pPr>
        <w:rPr>
          <w:sz w:val="32"/>
          <w:szCs w:val="32"/>
        </w:rPr>
      </w:pPr>
    </w:p>
    <w:p w:rsidR="0071743F" w:rsidRDefault="0071743F">
      <w:pPr>
        <w:rPr>
          <w:sz w:val="32"/>
          <w:szCs w:val="32"/>
        </w:rPr>
      </w:pPr>
    </w:p>
    <w:p w:rsidR="0071743F" w:rsidRDefault="0071743F">
      <w:pPr>
        <w:rPr>
          <w:sz w:val="32"/>
          <w:szCs w:val="32"/>
        </w:rPr>
      </w:pPr>
    </w:p>
    <w:p w:rsidR="00D3292B" w:rsidRDefault="00B306CE" w:rsidP="00D3292B">
      <w:pPr>
        <w:jc w:val="center"/>
        <w:rPr>
          <w:sz w:val="32"/>
          <w:szCs w:val="32"/>
        </w:rPr>
      </w:pPr>
      <w:r w:rsidRPr="006D2F34">
        <w:rPr>
          <w:sz w:val="32"/>
          <w:szCs w:val="32"/>
        </w:rPr>
        <w:t>Simulation de trajectoires d’émission</w:t>
      </w:r>
      <w:r w:rsidR="00D3292B">
        <w:rPr>
          <w:sz w:val="32"/>
          <w:szCs w:val="32"/>
        </w:rPr>
        <w:t xml:space="preserve"> </w:t>
      </w:r>
      <w:r w:rsidRPr="006D2F34">
        <w:rPr>
          <w:sz w:val="32"/>
          <w:szCs w:val="32"/>
        </w:rPr>
        <w:t xml:space="preserve">compatibles </w:t>
      </w:r>
    </w:p>
    <w:p w:rsidR="00B306CE" w:rsidRPr="006D2F34" w:rsidRDefault="00B306CE" w:rsidP="00D3292B">
      <w:pPr>
        <w:jc w:val="center"/>
        <w:rPr>
          <w:sz w:val="32"/>
          <w:szCs w:val="32"/>
        </w:rPr>
      </w:pPr>
      <w:proofErr w:type="gramStart"/>
      <w:r w:rsidRPr="006D2F34">
        <w:rPr>
          <w:sz w:val="32"/>
          <w:szCs w:val="32"/>
        </w:rPr>
        <w:t>avec</w:t>
      </w:r>
      <w:proofErr w:type="gramEnd"/>
      <w:r w:rsidRPr="006D2F34">
        <w:rPr>
          <w:sz w:val="32"/>
          <w:szCs w:val="32"/>
        </w:rPr>
        <w:t xml:space="preserve"> l’objectif d’une augmentation de la température terrestre limitée à +2°C entre </w:t>
      </w:r>
      <w:r w:rsidR="001E0982" w:rsidRPr="006D2F34">
        <w:rPr>
          <w:sz w:val="32"/>
          <w:szCs w:val="32"/>
        </w:rPr>
        <w:t>le début de l’ère industrielle</w:t>
      </w:r>
      <w:r w:rsidR="001E0982" w:rsidRPr="006D2F34">
        <w:rPr>
          <w:sz w:val="32"/>
          <w:szCs w:val="32"/>
        </w:rPr>
        <w:t xml:space="preserve"> </w:t>
      </w:r>
      <w:r w:rsidR="001E0982">
        <w:rPr>
          <w:sz w:val="32"/>
          <w:szCs w:val="32"/>
        </w:rPr>
        <w:t>et la fin du siècle</w:t>
      </w:r>
      <w:r w:rsidRPr="006D2F34">
        <w:rPr>
          <w:sz w:val="32"/>
          <w:szCs w:val="32"/>
        </w:rPr>
        <w:t>.</w:t>
      </w:r>
    </w:p>
    <w:p w:rsidR="00F422A4" w:rsidRDefault="00F422A4" w:rsidP="00D3292B">
      <w:pPr>
        <w:jc w:val="center"/>
        <w:rPr>
          <w:sz w:val="32"/>
          <w:szCs w:val="32"/>
        </w:rPr>
      </w:pPr>
    </w:p>
    <w:p w:rsidR="006972BB" w:rsidRPr="006D2F34" w:rsidRDefault="006972BB">
      <w:pPr>
        <w:rPr>
          <w:sz w:val="32"/>
          <w:szCs w:val="32"/>
        </w:rPr>
      </w:pPr>
    </w:p>
    <w:p w:rsidR="00B306CE" w:rsidRPr="006D2F34" w:rsidRDefault="002356DA">
      <w:pPr>
        <w:rPr>
          <w:sz w:val="28"/>
          <w:szCs w:val="28"/>
        </w:rPr>
      </w:pPr>
      <w:r>
        <w:rPr>
          <w:sz w:val="28"/>
          <w:szCs w:val="28"/>
        </w:rPr>
        <w:t xml:space="preserve">I- </w:t>
      </w:r>
      <w:r w:rsidR="00A322E1">
        <w:rPr>
          <w:sz w:val="28"/>
          <w:szCs w:val="28"/>
        </w:rPr>
        <w:t>Méthode générale</w:t>
      </w:r>
      <w:r w:rsidR="00B306CE" w:rsidRPr="006D2F34">
        <w:rPr>
          <w:sz w:val="28"/>
          <w:szCs w:val="28"/>
        </w:rPr>
        <w:t>.</w:t>
      </w:r>
    </w:p>
    <w:p w:rsidR="00B306CE" w:rsidRPr="006D2F34" w:rsidRDefault="00B306CE">
      <w:pPr>
        <w:rPr>
          <w:sz w:val="28"/>
          <w:szCs w:val="28"/>
        </w:rPr>
      </w:pPr>
    </w:p>
    <w:p w:rsidR="00B306CE" w:rsidRDefault="00B306CE">
      <w:r>
        <w:t xml:space="preserve">Toutes les trajectoires sont construites </w:t>
      </w:r>
      <w:r w:rsidR="0015222C">
        <w:t>sous contrainte d’un volume cumulé des émissions de CO</w:t>
      </w:r>
      <w:r w:rsidR="0015222C">
        <w:rPr>
          <w:vertAlign w:val="subscript"/>
        </w:rPr>
        <w:t xml:space="preserve">2 </w:t>
      </w:r>
      <w:r w:rsidR="0015222C">
        <w:t>de 1000 GtCO</w:t>
      </w:r>
      <w:r w:rsidR="0015222C">
        <w:rPr>
          <w:vertAlign w:val="subscript"/>
        </w:rPr>
        <w:t>2</w:t>
      </w:r>
      <w:r w:rsidR="00BA37B7">
        <w:t xml:space="preserve">  à partir de 2011. </w:t>
      </w:r>
    </w:p>
    <w:p w:rsidR="000A12E3" w:rsidRDefault="000A12E3"/>
    <w:p w:rsidR="00840EA5" w:rsidRDefault="00840EA5">
      <w:r>
        <w:t xml:space="preserve">Ce chiffre apparait régulièrement dans les publications du GIEC et du Framework Convention on </w:t>
      </w:r>
      <w:proofErr w:type="spellStart"/>
      <w:r>
        <w:t>Climate</w:t>
      </w:r>
      <w:proofErr w:type="spellEnd"/>
      <w:r>
        <w:t xml:space="preserve"> </w:t>
      </w:r>
      <w:proofErr w:type="gramStart"/>
      <w:r>
        <w:t>Change ,</w:t>
      </w:r>
      <w:proofErr w:type="gramEnd"/>
      <w:r>
        <w:t xml:space="preserve"> p</w:t>
      </w:r>
      <w:r w:rsidR="00E53AEC">
        <w:t xml:space="preserve">ar </w:t>
      </w:r>
      <w:r w:rsidR="000A12E3">
        <w:t xml:space="preserve">exemple dans </w:t>
      </w:r>
      <w:r>
        <w:t>son document du</w:t>
      </w:r>
      <w:r w:rsidR="00E53AEC">
        <w:t xml:space="preserve"> 2 mai 2016</w:t>
      </w:r>
      <w:r>
        <w:t> :</w:t>
      </w:r>
    </w:p>
    <w:p w:rsidR="00840EA5" w:rsidRDefault="00E53AEC">
      <w:r>
        <w:t xml:space="preserve">FCCC/CP/2016/2, </w:t>
      </w:r>
      <w:hyperlink r:id="rId8" w:tgtFrame="_blank" w:history="1">
        <w:r>
          <w:rPr>
            <w:rStyle w:val="Lienhypertexte"/>
          </w:rPr>
          <w:t>http://unfccc.int/focus/indc_portal/items/9240.php</w:t>
        </w:r>
      </w:hyperlink>
      <w:proofErr w:type="gramStart"/>
      <w:r w:rsidR="00840EA5">
        <w:rPr>
          <w:rStyle w:val="Lienhypertexte"/>
        </w:rPr>
        <w:t>,</w:t>
      </w:r>
      <w:r w:rsidR="000A12E3">
        <w:t> :</w:t>
      </w:r>
      <w:proofErr w:type="gramEnd"/>
    </w:p>
    <w:p w:rsidR="009B4F29" w:rsidRDefault="009B4F29"/>
    <w:p w:rsidR="009B4F29" w:rsidRDefault="009B4F29" w:rsidP="00823500">
      <w:pPr>
        <w:pStyle w:val="Paragraphedeliste"/>
        <w:numPr>
          <w:ilvl w:val="0"/>
          <w:numId w:val="2"/>
        </w:numPr>
        <w:ind w:left="360"/>
      </w:pPr>
      <w:r>
        <w:t>P13-44 : « </w:t>
      </w:r>
      <w:proofErr w:type="spellStart"/>
      <w:r>
        <w:t>According</w:t>
      </w:r>
      <w:proofErr w:type="spellEnd"/>
      <w:r>
        <w:t xml:space="preserve"> to the AR5, the total global cumulative </w:t>
      </w:r>
      <w:proofErr w:type="spellStart"/>
      <w:r>
        <w:t>emissions</w:t>
      </w:r>
      <w:proofErr w:type="spellEnd"/>
      <w:r>
        <w:t xml:space="preserve"> </w:t>
      </w:r>
      <w:proofErr w:type="spellStart"/>
      <w:r>
        <w:t>since</w:t>
      </w:r>
      <w:proofErr w:type="spellEnd"/>
      <w:r>
        <w:t xml:space="preserve"> 2011 </w:t>
      </w:r>
      <w:proofErr w:type="spellStart"/>
      <w:r>
        <w:t>that</w:t>
      </w:r>
      <w:proofErr w:type="spellEnd"/>
      <w:r>
        <w:t xml:space="preserve"> are consistent </w:t>
      </w:r>
      <w:proofErr w:type="spellStart"/>
      <w:r>
        <w:t>with</w:t>
      </w:r>
      <w:proofErr w:type="spellEnd"/>
      <w:r>
        <w:t xml:space="preserve"> a global </w:t>
      </w:r>
      <w:proofErr w:type="spellStart"/>
      <w:r>
        <w:t>average</w:t>
      </w:r>
      <w:proofErr w:type="spellEnd"/>
      <w:r>
        <w:t xml:space="preserve"> </w:t>
      </w:r>
      <w:proofErr w:type="spellStart"/>
      <w:r>
        <w:t>temperature</w:t>
      </w:r>
      <w:proofErr w:type="spellEnd"/>
      <w:r>
        <w:t xml:space="preserve"> </w:t>
      </w:r>
      <w:proofErr w:type="spellStart"/>
      <w:r>
        <w:t>rise</w:t>
      </w:r>
      <w:proofErr w:type="spellEnd"/>
      <w:r>
        <w:t xml:space="preserve"> of </w:t>
      </w:r>
      <w:proofErr w:type="spellStart"/>
      <w:r>
        <w:t>less</w:t>
      </w:r>
      <w:proofErr w:type="spellEnd"/>
      <w:r>
        <w:t xml:space="preserve"> </w:t>
      </w:r>
      <w:proofErr w:type="spellStart"/>
      <w:r>
        <w:t>than</w:t>
      </w:r>
      <w:proofErr w:type="spellEnd"/>
      <w:r>
        <w:t xml:space="preserve"> 2°C </w:t>
      </w:r>
      <w:proofErr w:type="spellStart"/>
      <w:r>
        <w:t>above</w:t>
      </w:r>
      <w:proofErr w:type="spellEnd"/>
      <w:r>
        <w:t xml:space="preserve"> </w:t>
      </w:r>
      <w:proofErr w:type="spellStart"/>
      <w:r>
        <w:t>pre-industrial</w:t>
      </w:r>
      <w:proofErr w:type="spellEnd"/>
      <w:r>
        <w:t xml:space="preserve"> </w:t>
      </w:r>
      <w:proofErr w:type="spellStart"/>
      <w:r>
        <w:t>levels</w:t>
      </w:r>
      <w:proofErr w:type="spellEnd"/>
      <w:r>
        <w:t xml:space="preserve"> at a </w:t>
      </w:r>
      <w:proofErr w:type="spellStart"/>
      <w:r>
        <w:t>likely</w:t>
      </w:r>
      <w:proofErr w:type="spellEnd"/>
      <w:r>
        <w:t xml:space="preserve"> (&gt;66 per cent) </w:t>
      </w:r>
      <w:proofErr w:type="spellStart"/>
      <w:r>
        <w:t>probability</w:t>
      </w:r>
      <w:proofErr w:type="spellEnd"/>
      <w:r>
        <w:t xml:space="preserve"> </w:t>
      </w:r>
      <w:proofErr w:type="spellStart"/>
      <w:r>
        <w:t>is</w:t>
      </w:r>
      <w:proofErr w:type="spellEnd"/>
      <w:r>
        <w:t xml:space="preserve"> </w:t>
      </w:r>
      <w:proofErr w:type="spellStart"/>
      <w:r>
        <w:t>approximately</w:t>
      </w:r>
      <w:proofErr w:type="spellEnd"/>
      <w:r>
        <w:t xml:space="preserve"> 1 000 Gt CO</w:t>
      </w:r>
      <w:r w:rsidRPr="00823500">
        <w:rPr>
          <w:vertAlign w:val="subscript"/>
        </w:rPr>
        <w:t>2</w:t>
      </w:r>
      <w:r>
        <w:t>.</w:t>
      </w:r>
      <w:r w:rsidR="00840EA5">
        <w:t> »</w:t>
      </w:r>
    </w:p>
    <w:p w:rsidR="000A12E3" w:rsidRDefault="000A12E3" w:rsidP="00823500"/>
    <w:p w:rsidR="000A12E3" w:rsidRDefault="000A12E3" w:rsidP="000A12E3">
      <w:pPr>
        <w:pStyle w:val="Paragraphedeliste"/>
        <w:numPr>
          <w:ilvl w:val="0"/>
          <w:numId w:val="2"/>
        </w:numPr>
        <w:ind w:left="360"/>
      </w:pPr>
      <w:r>
        <w:t>P48-211 : « </w:t>
      </w:r>
      <w:proofErr w:type="spellStart"/>
      <w:r>
        <w:t>According</w:t>
      </w:r>
      <w:proofErr w:type="spellEnd"/>
      <w:r>
        <w:t xml:space="preserve"> to the AR5, global cumulative CO</w:t>
      </w:r>
      <w:r w:rsidRPr="00823500">
        <w:rPr>
          <w:vertAlign w:val="subscript"/>
        </w:rPr>
        <w:t>2</w:t>
      </w:r>
      <w:r>
        <w:t xml:space="preserve"> </w:t>
      </w:r>
      <w:proofErr w:type="spellStart"/>
      <w:r>
        <w:t>emissions</w:t>
      </w:r>
      <w:proofErr w:type="spellEnd"/>
      <w:r>
        <w:t xml:space="preserve"> </w:t>
      </w:r>
      <w:proofErr w:type="spellStart"/>
      <w:r>
        <w:t>after</w:t>
      </w:r>
      <w:proofErr w:type="spellEnd"/>
      <w:r>
        <w:t xml:space="preserve"> 2011, for a </w:t>
      </w:r>
      <w:proofErr w:type="spellStart"/>
      <w:r>
        <w:t>likely</w:t>
      </w:r>
      <w:proofErr w:type="spellEnd"/>
      <w:r>
        <w:t xml:space="preserve"> chance of </w:t>
      </w:r>
      <w:proofErr w:type="spellStart"/>
      <w:r>
        <w:t>keeping</w:t>
      </w:r>
      <w:proofErr w:type="spellEnd"/>
      <w:r>
        <w:t xml:space="preserve"> global </w:t>
      </w:r>
      <w:proofErr w:type="spellStart"/>
      <w:r>
        <w:t>average</w:t>
      </w:r>
      <w:proofErr w:type="spellEnd"/>
      <w:r>
        <w:t xml:space="preserve"> </w:t>
      </w:r>
      <w:proofErr w:type="spellStart"/>
      <w:r>
        <w:t>temperature</w:t>
      </w:r>
      <w:proofErr w:type="spellEnd"/>
      <w:r>
        <w:t xml:space="preserve"> </w:t>
      </w:r>
      <w:proofErr w:type="spellStart"/>
      <w:r>
        <w:t>rise</w:t>
      </w:r>
      <w:proofErr w:type="spellEnd"/>
      <w:r>
        <w:t xml:space="preserve"> </w:t>
      </w:r>
      <w:proofErr w:type="spellStart"/>
      <w:r>
        <w:t>below</w:t>
      </w:r>
      <w:proofErr w:type="spellEnd"/>
      <w:r>
        <w:t xml:space="preserve"> 2°C, </w:t>
      </w:r>
      <w:proofErr w:type="spellStart"/>
      <w:r>
        <w:t>should</w:t>
      </w:r>
      <w:proofErr w:type="spellEnd"/>
      <w:r>
        <w:t xml:space="preserve"> </w:t>
      </w:r>
      <w:proofErr w:type="spellStart"/>
      <w:r>
        <w:t>be</w:t>
      </w:r>
      <w:proofErr w:type="spellEnd"/>
      <w:r>
        <w:t xml:space="preserve"> </w:t>
      </w:r>
      <w:proofErr w:type="spellStart"/>
      <w:r>
        <w:t>limited</w:t>
      </w:r>
      <w:proofErr w:type="spellEnd"/>
      <w:r>
        <w:t xml:space="preserve"> to </w:t>
      </w:r>
      <w:proofErr w:type="spellStart"/>
      <w:r>
        <w:t>less</w:t>
      </w:r>
      <w:proofErr w:type="spellEnd"/>
      <w:r>
        <w:t xml:space="preserve"> </w:t>
      </w:r>
      <w:proofErr w:type="spellStart"/>
      <w:r>
        <w:t>than</w:t>
      </w:r>
      <w:proofErr w:type="spellEnd"/>
      <w:r>
        <w:t xml:space="preserve"> 1 000 Gt CO</w:t>
      </w:r>
      <w:r w:rsidRPr="00823500">
        <w:rPr>
          <w:vertAlign w:val="subscript"/>
        </w:rPr>
        <w:t>2</w:t>
      </w:r>
      <w:r>
        <w:t>. »</w:t>
      </w:r>
    </w:p>
    <w:p w:rsidR="009B4F29" w:rsidRDefault="009B4F29"/>
    <w:p w:rsidR="00840EA5" w:rsidRPr="00823500" w:rsidRDefault="00823500">
      <w:r>
        <w:t>Ce « budget carbone » est défini avec un niveau de confiance qualifié de « </w:t>
      </w:r>
      <w:proofErr w:type="spellStart"/>
      <w:r>
        <w:t>likely</w:t>
      </w:r>
      <w:proofErr w:type="spellEnd"/>
      <w:r>
        <w:t xml:space="preserve"> », c’est-à-dire de 66%. L’ensemble des résultats qui suivent ne doivent donc pas être pris comme des certitudes exactes mais comme des contributions à la définition de trajectoires « raisonnables » pour tenir l’objectif de +2°C. </w:t>
      </w:r>
    </w:p>
    <w:p w:rsidR="0015222C" w:rsidRDefault="0015222C"/>
    <w:p w:rsidR="0015222C" w:rsidRDefault="0015222C">
      <w:r>
        <w:t xml:space="preserve">L’unité de </w:t>
      </w:r>
      <w:r w:rsidR="00823500">
        <w:t>définition du budget carbone</w:t>
      </w:r>
      <w:r>
        <w:t xml:space="preserve"> est la Gt</w:t>
      </w:r>
      <w:r w:rsidR="00823500">
        <w:t xml:space="preserve"> </w:t>
      </w:r>
      <w:r>
        <w:t>CO</w:t>
      </w:r>
      <w:r>
        <w:rPr>
          <w:vertAlign w:val="subscript"/>
        </w:rPr>
        <w:t xml:space="preserve">2. </w:t>
      </w:r>
      <w:r>
        <w:t>Cela signifie que seules les émissions de CO</w:t>
      </w:r>
      <w:r>
        <w:rPr>
          <w:vertAlign w:val="subscript"/>
        </w:rPr>
        <w:t xml:space="preserve">2  </w:t>
      </w:r>
      <w:proofErr w:type="gramStart"/>
      <w:r>
        <w:t>sont</w:t>
      </w:r>
      <w:proofErr w:type="gramEnd"/>
      <w:r>
        <w:t xml:space="preserve"> prises en compte et non celles des autres gaz à effet de serre, qui elles sont traduites en GtCO</w:t>
      </w:r>
      <w:r w:rsidRPr="0015222C">
        <w:rPr>
          <w:vertAlign w:val="subscript"/>
        </w:rPr>
        <w:t>2</w:t>
      </w:r>
      <w:r>
        <w:t xml:space="preserve"> équivalent. A titre d’exemple en 2011 les émissions sont de 38 GTCO</w:t>
      </w:r>
      <w:r w:rsidRPr="0015222C">
        <w:rPr>
          <w:vertAlign w:val="subscript"/>
        </w:rPr>
        <w:t>2</w:t>
      </w:r>
      <w:r>
        <w:t xml:space="preserve"> et de 49GtCO</w:t>
      </w:r>
      <w:r w:rsidRPr="0015222C">
        <w:rPr>
          <w:vertAlign w:val="subscript"/>
        </w:rPr>
        <w:t>2</w:t>
      </w:r>
      <w:r>
        <w:t>eq.</w:t>
      </w:r>
    </w:p>
    <w:p w:rsidR="001E0982" w:rsidRDefault="001E0982"/>
    <w:p w:rsidR="001E0982" w:rsidRDefault="001E0982">
      <w:r>
        <w:t>Ces émissions sont nettes : elles correspondent au solde entre les émissions liées aux activités humaines et les actions de captation du CO</w:t>
      </w:r>
      <w:r w:rsidRPr="001E0982">
        <w:rPr>
          <w:vertAlign w:val="subscript"/>
        </w:rPr>
        <w:t>2</w:t>
      </w:r>
      <w:r>
        <w:t xml:space="preserve"> qui pourront être menées soit par un usage adapté des sols, soit par des techniques de stockage ou de transformation</w:t>
      </w:r>
      <w:r w:rsidR="00BA37B7">
        <w:t xml:space="preserve"> du CO</w:t>
      </w:r>
      <w:r w:rsidR="00BA37B7" w:rsidRPr="00BA37B7">
        <w:rPr>
          <w:vertAlign w:val="subscript"/>
        </w:rPr>
        <w:t>2</w:t>
      </w:r>
      <w:r>
        <w:t>.</w:t>
      </w:r>
      <w:r w:rsidR="00BA37B7">
        <w:t xml:space="preserve"> Sous réserve d’un effort important, de recherche et d’industrialisation, les effets de captation du CO</w:t>
      </w:r>
      <w:r w:rsidR="00BA37B7" w:rsidRPr="00BA37B7">
        <w:rPr>
          <w:vertAlign w:val="subscript"/>
        </w:rPr>
        <w:t>2</w:t>
      </w:r>
      <w:r w:rsidR="00BA37B7">
        <w:t xml:space="preserve"> pourraient être significatifs à partir de 2030. </w:t>
      </w:r>
    </w:p>
    <w:p w:rsidR="00B306CE" w:rsidRDefault="00B306CE"/>
    <w:p w:rsidR="00F422A4" w:rsidRDefault="00F422A4">
      <w:r>
        <w:br w:type="page"/>
      </w:r>
    </w:p>
    <w:p w:rsidR="006D2F34" w:rsidRPr="006D2F34" w:rsidRDefault="002356DA">
      <w:pPr>
        <w:rPr>
          <w:sz w:val="28"/>
          <w:szCs w:val="28"/>
        </w:rPr>
      </w:pPr>
      <w:r>
        <w:rPr>
          <w:sz w:val="28"/>
          <w:szCs w:val="28"/>
        </w:rPr>
        <w:lastRenderedPageBreak/>
        <w:t xml:space="preserve">II- </w:t>
      </w:r>
      <w:r w:rsidR="006D2F34" w:rsidRPr="006D2F34">
        <w:rPr>
          <w:sz w:val="28"/>
          <w:szCs w:val="28"/>
        </w:rPr>
        <w:t>Détermination des valeurs INDC en GtCO</w:t>
      </w:r>
      <w:r w:rsidR="006D2F34" w:rsidRPr="006D2F34">
        <w:rPr>
          <w:sz w:val="28"/>
          <w:szCs w:val="28"/>
          <w:vertAlign w:val="subscript"/>
        </w:rPr>
        <w:t>2</w:t>
      </w:r>
      <w:r w:rsidR="006D2F34" w:rsidRPr="006D2F34">
        <w:rPr>
          <w:sz w:val="28"/>
          <w:szCs w:val="28"/>
        </w:rPr>
        <w:t>.</w:t>
      </w:r>
    </w:p>
    <w:p w:rsidR="006D2F34" w:rsidRDefault="006D2F34"/>
    <w:p w:rsidR="00EF3296" w:rsidRDefault="0015222C">
      <w:r>
        <w:t>Les INDC prennent en compte l’ensemble des GES</w:t>
      </w:r>
      <w:r w:rsidR="00A14448">
        <w:t xml:space="preserve"> et sont donc exprimés en GtCO</w:t>
      </w:r>
      <w:r w:rsidR="00A14448" w:rsidRPr="00A14448">
        <w:rPr>
          <w:vertAlign w:val="subscript"/>
        </w:rPr>
        <w:t>2</w:t>
      </w:r>
      <w:r w:rsidR="00A14448">
        <w:t>eq</w:t>
      </w:r>
      <w:r>
        <w:t xml:space="preserve">. </w:t>
      </w:r>
      <w:r w:rsidR="00A14448">
        <w:t>Pour rendre ces valeurs homogènes avec le budget de 1000 GtCO</w:t>
      </w:r>
      <w:r w:rsidR="00A14448" w:rsidRPr="00823500">
        <w:rPr>
          <w:vertAlign w:val="subscript"/>
        </w:rPr>
        <w:t>2</w:t>
      </w:r>
      <w:r w:rsidR="00A14448">
        <w:t xml:space="preserve"> il faut donc réaliser une approximation de leur contenu en CO</w:t>
      </w:r>
      <w:r w:rsidR="00A14448" w:rsidRPr="00823500">
        <w:rPr>
          <w:vertAlign w:val="subscript"/>
        </w:rPr>
        <w:t>2</w:t>
      </w:r>
      <w:r w:rsidR="00A14448">
        <w:t xml:space="preserve"> seul. </w:t>
      </w:r>
    </w:p>
    <w:p w:rsidR="00EF3296" w:rsidRDefault="00EF3296"/>
    <w:p w:rsidR="00F422A4" w:rsidRDefault="00A14448">
      <w:r>
        <w:t>L’approche retenue est de déterminer trois valeurs : 2015, 2020 et 2025 en reproduisant le même taux de croissance depuis 2011 sur l’ensemble des GES et sur le CO</w:t>
      </w:r>
      <w:r w:rsidRPr="00A14448">
        <w:rPr>
          <w:vertAlign w:val="subscript"/>
        </w:rPr>
        <w:t>2</w:t>
      </w:r>
      <w:r>
        <w:t>.</w:t>
      </w:r>
      <w:r w:rsidR="00591A5F">
        <w:t xml:space="preserve">  </w:t>
      </w:r>
    </w:p>
    <w:p w:rsidR="00EE5AAE" w:rsidRDefault="00591A5F">
      <w:r>
        <w:t>Exemple : en 2020 la valeur INDC est de 54 GtCO</w:t>
      </w:r>
      <w:r w:rsidRPr="00D93361">
        <w:rPr>
          <w:vertAlign w:val="subscript"/>
        </w:rPr>
        <w:t>2</w:t>
      </w:r>
      <w:r>
        <w:t xml:space="preserve">eq, </w:t>
      </w:r>
      <w:r w:rsidR="00EE5AAE">
        <w:t xml:space="preserve">soit + 10,2% par rapport à 2011 ; </w:t>
      </w:r>
      <w:r>
        <w:t>la valeur en C</w:t>
      </w:r>
      <w:r w:rsidR="00EE5AAE">
        <w:t>O</w:t>
      </w:r>
      <w:r w:rsidR="00EE5AAE" w:rsidRPr="00EE5AAE">
        <w:rPr>
          <w:vertAlign w:val="subscript"/>
        </w:rPr>
        <w:t>2</w:t>
      </w:r>
      <w:r>
        <w:t xml:space="preserve"> </w:t>
      </w:r>
      <w:r w:rsidR="00EE5AAE">
        <w:t>est donc  + 10,2%  appliqué à 38 soit 42 GtCO</w:t>
      </w:r>
      <w:r w:rsidR="00EE5AAE" w:rsidRPr="00EE5AAE">
        <w:rPr>
          <w:vertAlign w:val="subscript"/>
        </w:rPr>
        <w:t>2</w:t>
      </w:r>
      <w:r w:rsidR="00EE5AAE">
        <w:t>.</w:t>
      </w:r>
    </w:p>
    <w:p w:rsidR="00EE5AAE" w:rsidRDefault="00EE5AAE">
      <w:r>
        <w:t xml:space="preserve">Les trois valeurs 2015, 2020, 2025 ont été </w:t>
      </w:r>
      <w:r w:rsidR="002149C7">
        <w:t xml:space="preserve">choisies </w:t>
      </w:r>
      <w:r>
        <w:t xml:space="preserve"> pour tenir compte de la « courbure » des émissions de GES qui réduisent leur progression. Entre ces trois valeurs il y a juste une réduction linéaire.</w:t>
      </w:r>
    </w:p>
    <w:p w:rsidR="00EF3296" w:rsidRDefault="00EF3296"/>
    <w:p w:rsidR="00EE5AAE" w:rsidRDefault="00823500">
      <w:r>
        <w:t>Les données prises en compte proviennent du rapport du FCCC déjà cité ci-dessus et notamment du graphe suivant :</w:t>
      </w:r>
    </w:p>
    <w:p w:rsidR="00EF3296" w:rsidRDefault="00EF3296"/>
    <w:p w:rsidR="00215505" w:rsidRDefault="00215505"/>
    <w:p w:rsidR="002149C7" w:rsidRDefault="002149C7">
      <w:r>
        <w:rPr>
          <w:noProof/>
          <w:lang w:eastAsia="fr-FR"/>
        </w:rPr>
        <w:drawing>
          <wp:inline distT="0" distB="0" distL="0" distR="0" wp14:anchorId="14E4D3D6" wp14:editId="299F7177">
            <wp:extent cx="5760720" cy="4471670"/>
            <wp:effectExtent l="0" t="0" r="0" b="5080"/>
            <wp:docPr id="2" name="Image 2" descr="http://unfccc.int/files/focus/indc_portal/image/jpeg/fig2exec_syr_update_v27apr2016_905_with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fccc.int/files/focus/indc_portal/image/jpeg/fig2exec_syr_update_v27apr2016_905_withlege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471670"/>
                    </a:xfrm>
                    <a:prstGeom prst="rect">
                      <a:avLst/>
                    </a:prstGeom>
                    <a:noFill/>
                    <a:ln>
                      <a:noFill/>
                    </a:ln>
                  </pic:spPr>
                </pic:pic>
              </a:graphicData>
            </a:graphic>
          </wp:inline>
        </w:drawing>
      </w:r>
    </w:p>
    <w:p w:rsidR="00EE5AAE" w:rsidRDefault="00EE5AAE"/>
    <w:p w:rsidR="00823500" w:rsidRDefault="00823500">
      <w:pPr>
        <w:rPr>
          <w:sz w:val="28"/>
          <w:szCs w:val="28"/>
        </w:rPr>
      </w:pPr>
    </w:p>
    <w:p w:rsidR="00823500" w:rsidRDefault="00823500">
      <w:pPr>
        <w:rPr>
          <w:sz w:val="28"/>
          <w:szCs w:val="28"/>
        </w:rPr>
      </w:pPr>
    </w:p>
    <w:p w:rsidR="00823500" w:rsidRDefault="00823500">
      <w:pPr>
        <w:rPr>
          <w:sz w:val="28"/>
          <w:szCs w:val="28"/>
        </w:rPr>
      </w:pPr>
    </w:p>
    <w:p w:rsidR="00D93361" w:rsidRDefault="00D93361">
      <w:pPr>
        <w:rPr>
          <w:sz w:val="28"/>
          <w:szCs w:val="28"/>
        </w:rPr>
      </w:pPr>
      <w:r>
        <w:rPr>
          <w:sz w:val="28"/>
          <w:szCs w:val="28"/>
        </w:rPr>
        <w:br w:type="page"/>
      </w:r>
    </w:p>
    <w:p w:rsidR="006D2F34" w:rsidRPr="006D2F34" w:rsidRDefault="002356DA">
      <w:pPr>
        <w:rPr>
          <w:sz w:val="28"/>
          <w:szCs w:val="28"/>
        </w:rPr>
      </w:pPr>
      <w:r>
        <w:rPr>
          <w:sz w:val="28"/>
          <w:szCs w:val="28"/>
        </w:rPr>
        <w:lastRenderedPageBreak/>
        <w:t xml:space="preserve">III- </w:t>
      </w:r>
      <w:r w:rsidR="006D2F34" w:rsidRPr="006D2F34">
        <w:rPr>
          <w:sz w:val="28"/>
          <w:szCs w:val="28"/>
        </w:rPr>
        <w:t>Détermination des trajectoires à effort constant.</w:t>
      </w:r>
    </w:p>
    <w:p w:rsidR="006D2F34" w:rsidRDefault="006D2F34"/>
    <w:p w:rsidR="00CA5CE4" w:rsidRDefault="00823500">
      <w:r>
        <w:t xml:space="preserve">Les données du </w:t>
      </w:r>
      <w:r w:rsidR="00D93361">
        <w:t>graphe</w:t>
      </w:r>
      <w:r>
        <w:t xml:space="preserve"> précédent </w:t>
      </w:r>
      <w:r w:rsidR="00CA5CE4">
        <w:t>ont permis de déterminer les émissions annuelles en CO</w:t>
      </w:r>
      <w:r w:rsidR="00CA5CE4" w:rsidRPr="00CA5CE4">
        <w:rPr>
          <w:vertAlign w:val="subscript"/>
        </w:rPr>
        <w:t>2</w:t>
      </w:r>
      <w:r w:rsidR="00CA5CE4">
        <w:t xml:space="preserve"> et les volumes cumulés d’émission depuis 2011.</w:t>
      </w:r>
    </w:p>
    <w:p w:rsidR="00CA5CE4" w:rsidRDefault="00CA5CE4">
      <w:r>
        <w:t xml:space="preserve">Chaque </w:t>
      </w:r>
      <w:r w:rsidR="006A0F3B">
        <w:t>année « A » nous disposons donc d’un niveau d’émission « E</w:t>
      </w:r>
      <w:r w:rsidR="006A0F3B" w:rsidRPr="006A0F3B">
        <w:rPr>
          <w:vertAlign w:val="subscript"/>
        </w:rPr>
        <w:t>A</w:t>
      </w:r>
      <w:r w:rsidR="006A0F3B">
        <w:t> » et d’un solde de budget carbone « S</w:t>
      </w:r>
      <w:r w:rsidR="006A0F3B" w:rsidRPr="006A0F3B">
        <w:rPr>
          <w:vertAlign w:val="subscript"/>
        </w:rPr>
        <w:t>A</w:t>
      </w:r>
      <w:r>
        <w:t> » défini comme la différence entre le budget carbone de 1000 GtCO</w:t>
      </w:r>
      <w:r w:rsidRPr="00CA5CE4">
        <w:rPr>
          <w:vertAlign w:val="subscript"/>
        </w:rPr>
        <w:t>2</w:t>
      </w:r>
      <w:r>
        <w:t xml:space="preserve"> et le cumul des émissions depuis 2011.</w:t>
      </w:r>
    </w:p>
    <w:p w:rsidR="006A0F3B" w:rsidRDefault="006A0F3B">
      <w:r>
        <w:t>La fonction qui correspond à une réduction des émissions à effort constant (même taux de réduction d’une année sur l’autre)</w:t>
      </w:r>
      <w:r w:rsidR="00CA5CE4">
        <w:t>, à partir de l’année A,</w:t>
      </w:r>
      <w:r>
        <w:t xml:space="preserve"> est une exponentielle de </w:t>
      </w:r>
      <w:r w:rsidR="00CA5CE4">
        <w:t xml:space="preserve">la </w:t>
      </w:r>
      <w:r>
        <w:t>forme :</w:t>
      </w:r>
    </w:p>
    <w:p w:rsidR="00E02170" w:rsidRDefault="006A0F3B">
      <w:pPr>
        <w:rPr>
          <w:vertAlign w:val="subscript"/>
        </w:rPr>
      </w:pPr>
      <w:r>
        <w:t xml:space="preserve"> E</w:t>
      </w:r>
      <w:r w:rsidRPr="006A0F3B">
        <w:rPr>
          <w:vertAlign w:val="subscript"/>
        </w:rPr>
        <w:t>N</w:t>
      </w:r>
      <w:r>
        <w:t xml:space="preserve"> (émission de l’année N) = E</w:t>
      </w:r>
      <w:r w:rsidRPr="006A0F3B">
        <w:rPr>
          <w:vertAlign w:val="subscript"/>
        </w:rPr>
        <w:t>A</w:t>
      </w:r>
      <w:r>
        <w:t xml:space="preserve"> EXP(e (N-A)) avec </w:t>
      </w:r>
      <w:r w:rsidRPr="00E02170">
        <w:t>l’exposant e</w:t>
      </w:r>
      <w:r>
        <w:t>=</w:t>
      </w:r>
      <w:r w:rsidR="00EF3296">
        <w:t xml:space="preserve"> </w:t>
      </w:r>
      <w:r>
        <w:t>-</w:t>
      </w:r>
      <w:r w:rsidR="00E02170">
        <w:t>E</w:t>
      </w:r>
      <w:r w:rsidRPr="006A0F3B">
        <w:rPr>
          <w:vertAlign w:val="subscript"/>
        </w:rPr>
        <w:t>A</w:t>
      </w:r>
      <w:r>
        <w:t>/</w:t>
      </w:r>
      <w:r w:rsidR="00E02170">
        <w:t>S</w:t>
      </w:r>
      <w:r w:rsidRPr="006A0F3B">
        <w:rPr>
          <w:vertAlign w:val="subscript"/>
        </w:rPr>
        <w:t>A</w:t>
      </w:r>
      <w:r w:rsidR="00E02170">
        <w:rPr>
          <w:vertAlign w:val="subscript"/>
        </w:rPr>
        <w:t>.</w:t>
      </w:r>
    </w:p>
    <w:p w:rsidR="00E02170" w:rsidRDefault="00E02170">
      <w:r w:rsidRPr="00E02170">
        <w:t>L’intég</w:t>
      </w:r>
      <w:r>
        <w:t>ration de cette fonction entre l’année A</w:t>
      </w:r>
      <w:r w:rsidRPr="00E02170">
        <w:t xml:space="preserve"> et l’infini est bien égale à S</w:t>
      </w:r>
      <w:r w:rsidRPr="00E02170">
        <w:rPr>
          <w:vertAlign w:val="subscript"/>
        </w:rPr>
        <w:t>A</w:t>
      </w:r>
      <w:r w:rsidRPr="00E02170">
        <w:t>.</w:t>
      </w:r>
    </w:p>
    <w:p w:rsidR="00D93361" w:rsidRDefault="00D93361" w:rsidP="00D93361">
      <w:r>
        <w:t>Le taux de réduction d’une année sur l’autre est : EXP(e)-1</w:t>
      </w:r>
    </w:p>
    <w:p w:rsidR="00D93361" w:rsidRDefault="00D93361" w:rsidP="00D93361">
      <w:r>
        <w:t>Pour chaque année il est aussi calculé, à titre d’information, le nombre d’années restantes avant d’avoir totalement consommé le budget carbone.  (Nombre d’années possibles « plein pot »)</w:t>
      </w:r>
    </w:p>
    <w:p w:rsidR="00D93361" w:rsidRDefault="00D93361" w:rsidP="00D93361"/>
    <w:p w:rsidR="00D93361" w:rsidRDefault="00D93361">
      <w:r>
        <w:t xml:space="preserve">Exemple : </w:t>
      </w:r>
    </w:p>
    <w:p w:rsidR="00E02170" w:rsidRDefault="00D93361">
      <w:r>
        <w:t>Si on part de l’année 2020, la trajectoire d’émission à effort constant respectant le budget carbone de 1000 GTCO</w:t>
      </w:r>
      <w:r w:rsidRPr="00D93361">
        <w:rPr>
          <w:vertAlign w:val="subscript"/>
        </w:rPr>
        <w:t>2</w:t>
      </w:r>
      <w:r>
        <w:t xml:space="preserve"> </w:t>
      </w:r>
      <w:r w:rsidR="00EF3296">
        <w:t>correspond à la fonction</w:t>
      </w:r>
      <w:r>
        <w:t> : Emission de l’année N = 41.88 EXP (-0,0658 (N-2020))</w:t>
      </w:r>
    </w:p>
    <w:p w:rsidR="00D93361" w:rsidRDefault="00D93361">
      <w:r>
        <w:t>Le taux de</w:t>
      </w:r>
      <w:r w:rsidR="006D7E1F">
        <w:t xml:space="preserve"> réduction annuel </w:t>
      </w:r>
      <w:r>
        <w:t>est une valeur constante égale à EXP (-0.0658)-1</w:t>
      </w:r>
      <w:r w:rsidR="006D7E1F">
        <w:t xml:space="preserve">, </w:t>
      </w:r>
      <w:r>
        <w:t>soit -6,37%.</w:t>
      </w:r>
    </w:p>
    <w:p w:rsidR="00D93361" w:rsidRDefault="00D93361">
      <w:r>
        <w:t xml:space="preserve">A partir de 2020, </w:t>
      </w:r>
      <w:r w:rsidR="00657190">
        <w:t xml:space="preserve">compte tenu des émissions déjà émises depuis 2011, </w:t>
      </w:r>
      <w:r>
        <w:t xml:space="preserve">le respect du budget carbone </w:t>
      </w:r>
      <w:r w:rsidR="00657190">
        <w:t xml:space="preserve">ne permet de continuer à émettre au niveau de l’année 2020 que pendant </w:t>
      </w:r>
      <w:r w:rsidR="006D7E1F">
        <w:t xml:space="preserve">encore </w:t>
      </w:r>
      <w:r w:rsidR="00657190">
        <w:t>seulement 15 ans.</w:t>
      </w:r>
    </w:p>
    <w:p w:rsidR="00E02170" w:rsidRDefault="00E02170"/>
    <w:p w:rsidR="00E02170" w:rsidRDefault="00E02170">
      <w:r>
        <w:t>Le tableau ci-</w:t>
      </w:r>
      <w:r w:rsidR="006972BB">
        <w:t>après</w:t>
      </w:r>
      <w:r>
        <w:t xml:space="preserve"> p</w:t>
      </w:r>
      <w:r w:rsidR="006D2F34">
        <w:t>résente l’ensemble de</w:t>
      </w:r>
      <w:r w:rsidR="00657190">
        <w:t xml:space="preserve"> ce</w:t>
      </w:r>
      <w:r w:rsidR="006D2F34">
        <w:t xml:space="preserve">s calculs </w:t>
      </w:r>
      <w:r w:rsidR="00657190">
        <w:t>jusqu’en 2025</w:t>
      </w:r>
      <w:r w:rsidR="00CA5CE4">
        <w:t xml:space="preserve"> </w:t>
      </w:r>
      <w:r w:rsidR="006D2F34">
        <w:t>:</w:t>
      </w:r>
    </w:p>
    <w:p w:rsidR="00823500" w:rsidRDefault="00823500"/>
    <w:p w:rsidR="006972BB" w:rsidRDefault="00CA5CE4">
      <w:r>
        <w:t>Détermination des émissions annuelles, des soldes d’émission disponible et du taux de réduction des émissions permettant de respecter le budget carbone de 1000 Gt CO2, en fonction de l’année de démarrage de l’effort.</w:t>
      </w:r>
    </w:p>
    <w:p w:rsidR="006D2F34" w:rsidRDefault="006D2F34"/>
    <w:tbl>
      <w:tblPr>
        <w:tblW w:w="7380" w:type="dxa"/>
        <w:tblInd w:w="55" w:type="dxa"/>
        <w:tblCellMar>
          <w:left w:w="70" w:type="dxa"/>
          <w:right w:w="70" w:type="dxa"/>
        </w:tblCellMar>
        <w:tblLook w:val="04A0" w:firstRow="1" w:lastRow="0" w:firstColumn="1" w:lastColumn="0" w:noHBand="0" w:noVBand="1"/>
      </w:tblPr>
      <w:tblGrid>
        <w:gridCol w:w="700"/>
        <w:gridCol w:w="800"/>
        <w:gridCol w:w="940"/>
        <w:gridCol w:w="1000"/>
        <w:gridCol w:w="1040"/>
        <w:gridCol w:w="940"/>
        <w:gridCol w:w="980"/>
        <w:gridCol w:w="980"/>
      </w:tblGrid>
      <w:tr w:rsidR="006D2F34" w:rsidRPr="006D2F34" w:rsidTr="006D2F34">
        <w:trPr>
          <w:trHeight w:val="600"/>
        </w:trPr>
        <w:tc>
          <w:tcPr>
            <w:tcW w:w="70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N</w:t>
            </w:r>
          </w:p>
        </w:tc>
        <w:tc>
          <w:tcPr>
            <w:tcW w:w="800" w:type="dxa"/>
            <w:tcBorders>
              <w:top w:val="single" w:sz="4" w:space="0" w:color="auto"/>
              <w:left w:val="nil"/>
              <w:bottom w:val="single" w:sz="4" w:space="0" w:color="auto"/>
              <w:right w:val="single" w:sz="4" w:space="0" w:color="auto"/>
            </w:tcBorders>
            <w:shd w:val="clear" w:color="000000" w:fill="FFC000"/>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INDC CO2eq</w:t>
            </w:r>
          </w:p>
        </w:tc>
        <w:tc>
          <w:tcPr>
            <w:tcW w:w="940" w:type="dxa"/>
            <w:tcBorders>
              <w:top w:val="single" w:sz="4" w:space="0" w:color="auto"/>
              <w:left w:val="nil"/>
              <w:bottom w:val="single" w:sz="4" w:space="0" w:color="auto"/>
              <w:right w:val="single" w:sz="4" w:space="0" w:color="auto"/>
            </w:tcBorders>
            <w:shd w:val="clear" w:color="000000" w:fill="FFC000"/>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Emission en CO2</w:t>
            </w:r>
          </w:p>
        </w:tc>
        <w:tc>
          <w:tcPr>
            <w:tcW w:w="1000" w:type="dxa"/>
            <w:tcBorders>
              <w:top w:val="single" w:sz="4" w:space="0" w:color="auto"/>
              <w:left w:val="nil"/>
              <w:bottom w:val="single" w:sz="4" w:space="0" w:color="auto"/>
              <w:right w:val="single" w:sz="4" w:space="0" w:color="auto"/>
            </w:tcBorders>
            <w:shd w:val="clear" w:color="000000" w:fill="FFC000"/>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conso cumulée</w:t>
            </w:r>
          </w:p>
        </w:tc>
        <w:tc>
          <w:tcPr>
            <w:tcW w:w="1040" w:type="dxa"/>
            <w:tcBorders>
              <w:top w:val="single" w:sz="4" w:space="0" w:color="auto"/>
              <w:left w:val="nil"/>
              <w:bottom w:val="single" w:sz="4" w:space="0" w:color="auto"/>
              <w:right w:val="single" w:sz="4" w:space="0" w:color="auto"/>
            </w:tcBorders>
            <w:shd w:val="clear" w:color="000000" w:fill="FFC000"/>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solde</w:t>
            </w:r>
          </w:p>
        </w:tc>
        <w:tc>
          <w:tcPr>
            <w:tcW w:w="940" w:type="dxa"/>
            <w:tcBorders>
              <w:top w:val="single" w:sz="4" w:space="0" w:color="auto"/>
              <w:left w:val="nil"/>
              <w:bottom w:val="single" w:sz="4" w:space="0" w:color="auto"/>
              <w:right w:val="single" w:sz="4" w:space="0" w:color="auto"/>
            </w:tcBorders>
            <w:shd w:val="clear" w:color="000000" w:fill="FFC000"/>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 xml:space="preserve">années </w:t>
            </w:r>
            <w:proofErr w:type="spellStart"/>
            <w:r w:rsidRPr="006D2F34">
              <w:rPr>
                <w:rFonts w:ascii="Calibri" w:eastAsia="Times New Roman" w:hAnsi="Calibri" w:cs="Times New Roman"/>
                <w:lang w:eastAsia="fr-FR"/>
              </w:rPr>
              <w:t>rest</w:t>
            </w:r>
            <w:proofErr w:type="spellEnd"/>
          </w:p>
        </w:tc>
        <w:tc>
          <w:tcPr>
            <w:tcW w:w="980" w:type="dxa"/>
            <w:tcBorders>
              <w:top w:val="single" w:sz="4" w:space="0" w:color="auto"/>
              <w:left w:val="nil"/>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exposant</w:t>
            </w:r>
          </w:p>
        </w:tc>
        <w:tc>
          <w:tcPr>
            <w:tcW w:w="980" w:type="dxa"/>
            <w:tcBorders>
              <w:top w:val="single" w:sz="4" w:space="0" w:color="auto"/>
              <w:left w:val="nil"/>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lang w:eastAsia="fr-FR"/>
              </w:rPr>
            </w:pPr>
            <w:r w:rsidRPr="006D2F34">
              <w:rPr>
                <w:rFonts w:ascii="Calibri" w:eastAsia="Times New Roman" w:hAnsi="Calibri" w:cs="Times New Roman"/>
                <w:lang w:eastAsia="fr-FR"/>
              </w:rPr>
              <w:t>Taux</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2011</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49</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38</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w:t>
            </w:r>
          </w:p>
        </w:tc>
        <w:tc>
          <w:tcPr>
            <w:tcW w:w="1040" w:type="dxa"/>
            <w:tcBorders>
              <w:top w:val="nil"/>
              <w:left w:val="nil"/>
              <w:bottom w:val="single" w:sz="4" w:space="0" w:color="auto"/>
              <w:right w:val="single" w:sz="4" w:space="0" w:color="auto"/>
            </w:tcBorders>
            <w:shd w:val="clear" w:color="auto" w:fill="auto"/>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1000</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26,32</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-0,0380</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-3,73</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2012</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38,54</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38,54</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961,46</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24,95</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-0,0401</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-3,93</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2013</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39,09</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77,63</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922,37</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23,60</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-0,0424</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-4,15</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2014</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39,63</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117,26</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882,75</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22,28</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-0,0449</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-4,39</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2015</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51,8</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40,17</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157,43</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842,57</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20,97</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-0,0477</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-4,66</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2016</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40,51</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197,94</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802,06</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19,80</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-0,0505</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-4,93</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2017</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40,85</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238,79</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761,21</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18,63</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-0,0537</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-5,23</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2018</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41,20</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279,99</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720,01</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17,48</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-0,0572</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-5,56</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2019</w:t>
            </w:r>
          </w:p>
        </w:tc>
        <w:tc>
          <w:tcPr>
            <w:tcW w:w="8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41,54</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321,53</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678,47</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16,33</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-0,0612</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-5,94</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2020</w:t>
            </w:r>
          </w:p>
        </w:tc>
        <w:tc>
          <w:tcPr>
            <w:tcW w:w="80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54</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41,88</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363,40</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636,60</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15,20</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-0,0658</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-6,37</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2021</w:t>
            </w:r>
          </w:p>
        </w:tc>
        <w:tc>
          <w:tcPr>
            <w:tcW w:w="80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42,03</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405,44</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594,56</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14,14</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-0,0707</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-6,83</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2022</w:t>
            </w:r>
          </w:p>
        </w:tc>
        <w:tc>
          <w:tcPr>
            <w:tcW w:w="80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42,19</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447,63</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552,37</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13,09</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-0,0764</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-7,35</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2023</w:t>
            </w:r>
          </w:p>
        </w:tc>
        <w:tc>
          <w:tcPr>
            <w:tcW w:w="80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42,34</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489,97</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510,03</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12,05</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-0,0830</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-7,97</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2024</w:t>
            </w:r>
          </w:p>
        </w:tc>
        <w:tc>
          <w:tcPr>
            <w:tcW w:w="80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42,50</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532,46</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467,54</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11,00</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-0,0909</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-8,69</w:t>
            </w:r>
          </w:p>
        </w:tc>
      </w:tr>
      <w:tr w:rsidR="006D2F34" w:rsidRPr="006D2F34" w:rsidTr="006D2F34">
        <w:trPr>
          <w:trHeight w:val="300"/>
        </w:trPr>
        <w:tc>
          <w:tcPr>
            <w:tcW w:w="700" w:type="dxa"/>
            <w:tcBorders>
              <w:top w:val="nil"/>
              <w:left w:val="single" w:sz="4" w:space="0" w:color="auto"/>
              <w:bottom w:val="single" w:sz="4" w:space="0" w:color="auto"/>
              <w:right w:val="single" w:sz="4" w:space="0" w:color="auto"/>
            </w:tcBorders>
            <w:shd w:val="clear" w:color="000000" w:fill="FFC000"/>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2025</w:t>
            </w:r>
          </w:p>
        </w:tc>
        <w:tc>
          <w:tcPr>
            <w:tcW w:w="80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55</w:t>
            </w:r>
          </w:p>
        </w:tc>
        <w:tc>
          <w:tcPr>
            <w:tcW w:w="940" w:type="dxa"/>
            <w:tcBorders>
              <w:top w:val="nil"/>
              <w:left w:val="nil"/>
              <w:bottom w:val="single" w:sz="4" w:space="0" w:color="auto"/>
              <w:right w:val="single" w:sz="4" w:space="0" w:color="auto"/>
            </w:tcBorders>
            <w:shd w:val="clear" w:color="auto" w:fill="auto"/>
            <w:noWrap/>
            <w:vAlign w:val="center"/>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42,65</w:t>
            </w:r>
          </w:p>
        </w:tc>
        <w:tc>
          <w:tcPr>
            <w:tcW w:w="100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575,12</w:t>
            </w:r>
          </w:p>
        </w:tc>
        <w:tc>
          <w:tcPr>
            <w:tcW w:w="10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424,88</w:t>
            </w:r>
          </w:p>
        </w:tc>
        <w:tc>
          <w:tcPr>
            <w:tcW w:w="94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9,96</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-0,1004</w:t>
            </w:r>
          </w:p>
        </w:tc>
        <w:tc>
          <w:tcPr>
            <w:tcW w:w="980" w:type="dxa"/>
            <w:tcBorders>
              <w:top w:val="nil"/>
              <w:left w:val="nil"/>
              <w:bottom w:val="single" w:sz="4" w:space="0" w:color="auto"/>
              <w:right w:val="single" w:sz="4" w:space="0" w:color="auto"/>
            </w:tcBorders>
            <w:shd w:val="clear" w:color="auto" w:fill="auto"/>
            <w:noWrap/>
            <w:vAlign w:val="bottom"/>
            <w:hideMark/>
          </w:tcPr>
          <w:p w:rsidR="006D2F34" w:rsidRPr="006D2F34" w:rsidRDefault="006D2F34" w:rsidP="006D2F34">
            <w:pPr>
              <w:jc w:val="center"/>
              <w:rPr>
                <w:rFonts w:ascii="Calibri" w:eastAsia="Times New Roman" w:hAnsi="Calibri" w:cs="Times New Roman"/>
                <w:color w:val="000000"/>
                <w:lang w:eastAsia="fr-FR"/>
              </w:rPr>
            </w:pPr>
            <w:r w:rsidRPr="006D2F34">
              <w:rPr>
                <w:rFonts w:ascii="Calibri" w:eastAsia="Times New Roman" w:hAnsi="Calibri" w:cs="Times New Roman"/>
                <w:color w:val="000000"/>
                <w:lang w:eastAsia="fr-FR"/>
              </w:rPr>
              <w:t>-9,55</w:t>
            </w:r>
          </w:p>
        </w:tc>
      </w:tr>
    </w:tbl>
    <w:p w:rsidR="006D2F34" w:rsidRDefault="006D2F34"/>
    <w:p w:rsidR="00F54821" w:rsidRDefault="00F54821"/>
    <w:p w:rsidR="001C7569" w:rsidRDefault="001C7569">
      <w:pPr>
        <w:rPr>
          <w:sz w:val="28"/>
          <w:szCs w:val="28"/>
        </w:rPr>
      </w:pPr>
    </w:p>
    <w:p w:rsidR="001C7569" w:rsidRDefault="001C7569">
      <w:pPr>
        <w:rPr>
          <w:sz w:val="28"/>
          <w:szCs w:val="28"/>
        </w:rPr>
      </w:pPr>
      <w:r>
        <w:rPr>
          <w:sz w:val="28"/>
          <w:szCs w:val="28"/>
        </w:rPr>
        <w:lastRenderedPageBreak/>
        <w:t>IV- Illustration graphique</w:t>
      </w:r>
    </w:p>
    <w:p w:rsidR="001C7569" w:rsidRDefault="001C7569">
      <w:pPr>
        <w:rPr>
          <w:sz w:val="28"/>
          <w:szCs w:val="28"/>
        </w:rPr>
      </w:pPr>
    </w:p>
    <w:p w:rsidR="001C7569" w:rsidRDefault="00A322E1">
      <w:pPr>
        <w:rPr>
          <w:sz w:val="28"/>
          <w:szCs w:val="28"/>
        </w:rPr>
      </w:pPr>
      <w:r>
        <w:rPr>
          <w:noProof/>
          <w:sz w:val="28"/>
          <w:szCs w:val="28"/>
          <w:lang w:eastAsia="fr-FR"/>
        </w:rPr>
        <w:drawing>
          <wp:inline distT="0" distB="0" distL="0" distR="0" wp14:anchorId="1FCBF1F5" wp14:editId="6E0DFF1F">
            <wp:extent cx="5760720" cy="3141100"/>
            <wp:effectExtent l="0" t="0" r="0" b="2540"/>
            <wp:docPr id="3" name="Image 3" descr="C:\Users\Pierre\Documents\Transition\The Shift Project\COP 21 INDC\Courbes Emission Carbone\courbes + moyenne1000g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rre\Documents\Transition\The Shift Project\COP 21 INDC\Courbes Emission Carbone\courbes + moyenne1000g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141100"/>
                    </a:xfrm>
                    <a:prstGeom prst="rect">
                      <a:avLst/>
                    </a:prstGeom>
                    <a:noFill/>
                    <a:ln>
                      <a:noFill/>
                    </a:ln>
                  </pic:spPr>
                </pic:pic>
              </a:graphicData>
            </a:graphic>
          </wp:inline>
        </w:drawing>
      </w:r>
    </w:p>
    <w:p w:rsidR="0071743F" w:rsidRDefault="0071743F">
      <w:pPr>
        <w:rPr>
          <w:sz w:val="28"/>
          <w:szCs w:val="28"/>
        </w:rPr>
      </w:pPr>
    </w:p>
    <w:p w:rsidR="00F54821" w:rsidRPr="00F54821" w:rsidRDefault="002356DA">
      <w:pPr>
        <w:rPr>
          <w:sz w:val="28"/>
          <w:szCs w:val="28"/>
        </w:rPr>
      </w:pPr>
      <w:r>
        <w:rPr>
          <w:sz w:val="28"/>
          <w:szCs w:val="28"/>
        </w:rPr>
        <w:t xml:space="preserve">V- </w:t>
      </w:r>
      <w:r w:rsidR="00F54821" w:rsidRPr="00F54821">
        <w:rPr>
          <w:sz w:val="28"/>
          <w:szCs w:val="28"/>
        </w:rPr>
        <w:t>Détermination des valeurs remarquables.</w:t>
      </w:r>
    </w:p>
    <w:p w:rsidR="00F54821" w:rsidRDefault="00F54821"/>
    <w:p w:rsidR="00F54821" w:rsidRDefault="00F54821">
      <w:r>
        <w:t>L‘objectif est de déterminer combien d’années sont nécessaires pour réduire les émissions d’un facteur x.</w:t>
      </w:r>
      <w:r w:rsidR="00A322E1">
        <w:t xml:space="preserve"> C</w:t>
      </w:r>
      <w:r>
        <w:t>e nombre d’années est égale à LN (1/x) / e (</w:t>
      </w:r>
      <w:r w:rsidR="00A322E1">
        <w:t>avec e</w:t>
      </w:r>
      <w:r>
        <w:t xml:space="preserve"> l’exposant de la courbe)</w:t>
      </w:r>
    </w:p>
    <w:p w:rsidR="006D7E1F" w:rsidRDefault="00F54821">
      <w:r>
        <w:t>Exemple</w:t>
      </w:r>
      <w:r w:rsidR="00A322E1">
        <w:t> :</w:t>
      </w:r>
      <w:r>
        <w:t xml:space="preserve"> pour réduire les émissions par 2 avec un exposant de – 0,05 on doit avoir EXP (-0.05 </w:t>
      </w:r>
      <w:r w:rsidR="006D7E1F">
        <w:t xml:space="preserve">N) = 0,5 soit N = </w:t>
      </w:r>
      <w:proofErr w:type="gramStart"/>
      <w:r w:rsidR="006D7E1F">
        <w:t>LN(</w:t>
      </w:r>
      <w:proofErr w:type="gramEnd"/>
      <w:r w:rsidR="006D7E1F">
        <w:t>0.5)/-0,05, soit 14 ans.</w:t>
      </w:r>
    </w:p>
    <w:p w:rsidR="00B90743" w:rsidRDefault="00B90743">
      <w:r>
        <w:t>Le tableau ci-dessous présente le nombre d’années permettant d’atteindre un taux de réduction des émissions en fonction de l’année où « l’effort s’engage ».</w:t>
      </w:r>
    </w:p>
    <w:p w:rsidR="00F54821" w:rsidRDefault="00F54821"/>
    <w:tbl>
      <w:tblPr>
        <w:tblW w:w="4542" w:type="dxa"/>
        <w:tblInd w:w="55" w:type="dxa"/>
        <w:tblCellMar>
          <w:left w:w="70" w:type="dxa"/>
          <w:right w:w="70" w:type="dxa"/>
        </w:tblCellMar>
        <w:tblLook w:val="04A0" w:firstRow="1" w:lastRow="0" w:firstColumn="1" w:lastColumn="0" w:noHBand="0" w:noVBand="1"/>
      </w:tblPr>
      <w:tblGrid>
        <w:gridCol w:w="949"/>
        <w:gridCol w:w="898"/>
        <w:gridCol w:w="898"/>
        <w:gridCol w:w="898"/>
        <w:gridCol w:w="899"/>
      </w:tblGrid>
      <w:tr w:rsidR="00F54821" w:rsidRPr="00F54821" w:rsidTr="00B90743">
        <w:trPr>
          <w:trHeight w:val="600"/>
        </w:trPr>
        <w:tc>
          <w:tcPr>
            <w:tcW w:w="949"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N</w:t>
            </w:r>
          </w:p>
        </w:tc>
        <w:tc>
          <w:tcPr>
            <w:tcW w:w="3593" w:type="dxa"/>
            <w:gridSpan w:val="4"/>
            <w:tcBorders>
              <w:top w:val="single" w:sz="4" w:space="0" w:color="auto"/>
              <w:left w:val="nil"/>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proofErr w:type="spellStart"/>
            <w:r w:rsidRPr="00F54821">
              <w:rPr>
                <w:rFonts w:ascii="Calibri" w:eastAsia="Times New Roman" w:hAnsi="Calibri" w:cs="Times New Roman"/>
                <w:color w:val="000000"/>
                <w:lang w:eastAsia="fr-FR"/>
              </w:rPr>
              <w:t>nbr</w:t>
            </w:r>
            <w:proofErr w:type="spellEnd"/>
            <w:r w:rsidRPr="00F54821">
              <w:rPr>
                <w:rFonts w:ascii="Calibri" w:eastAsia="Times New Roman" w:hAnsi="Calibri" w:cs="Times New Roman"/>
                <w:color w:val="000000"/>
                <w:lang w:eastAsia="fr-FR"/>
              </w:rPr>
              <w:t xml:space="preserve"> d'années pour réduire les Emis   par 2        par 4         par 10      par 20</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2011</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18,2</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36,5</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60,6</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78,8</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2012</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17,3</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34,6</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57,4</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74,7</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2013</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16,4</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32,7</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54,3</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70,7</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2014</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15,4</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30,9</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51,3</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66,7</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2015</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14,5</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29,1</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48,3</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62,8</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2016</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13,7</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27,4</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45,6</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59,3</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2017</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12,9</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25,8</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42,9</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55,8</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2018</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12,1</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24,2</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40,2</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52,4</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2019</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11,3</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22,6</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37,6</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48,9</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2020</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10,5</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21,1</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35,0</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45,5</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2021</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9,8</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19,6</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32,6</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42,4</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2022</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9,1</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18,2</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30,1</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39,2</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2023</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8,3</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16,7</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27,7</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36,1</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2024</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7,6</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15,3</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25,3</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33,0</w:t>
            </w:r>
          </w:p>
        </w:tc>
      </w:tr>
      <w:tr w:rsidR="00B90743" w:rsidRPr="00F54821" w:rsidTr="00B90743">
        <w:trPr>
          <w:trHeight w:val="301"/>
        </w:trPr>
        <w:tc>
          <w:tcPr>
            <w:tcW w:w="949" w:type="dxa"/>
            <w:tcBorders>
              <w:top w:val="nil"/>
              <w:left w:val="single" w:sz="4" w:space="0" w:color="auto"/>
              <w:bottom w:val="single" w:sz="4" w:space="0" w:color="auto"/>
              <w:right w:val="single" w:sz="4" w:space="0" w:color="auto"/>
            </w:tcBorders>
            <w:shd w:val="clear" w:color="000000" w:fill="FFC000"/>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2025</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6,9</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13,8</w:t>
            </w:r>
          </w:p>
        </w:tc>
        <w:tc>
          <w:tcPr>
            <w:tcW w:w="898"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22,9</w:t>
            </w:r>
          </w:p>
        </w:tc>
        <w:tc>
          <w:tcPr>
            <w:tcW w:w="899" w:type="dxa"/>
            <w:tcBorders>
              <w:top w:val="nil"/>
              <w:left w:val="nil"/>
              <w:bottom w:val="single" w:sz="4" w:space="0" w:color="auto"/>
              <w:right w:val="single" w:sz="4" w:space="0" w:color="auto"/>
            </w:tcBorders>
            <w:shd w:val="clear" w:color="auto" w:fill="auto"/>
            <w:noWrap/>
            <w:vAlign w:val="bottom"/>
            <w:hideMark/>
          </w:tcPr>
          <w:p w:rsidR="00F54821" w:rsidRPr="00F54821" w:rsidRDefault="00F54821" w:rsidP="00F54821">
            <w:pPr>
              <w:jc w:val="center"/>
              <w:rPr>
                <w:rFonts w:ascii="Calibri" w:eastAsia="Times New Roman" w:hAnsi="Calibri" w:cs="Times New Roman"/>
                <w:color w:val="000000"/>
                <w:lang w:eastAsia="fr-FR"/>
              </w:rPr>
            </w:pPr>
            <w:r w:rsidRPr="00F54821">
              <w:rPr>
                <w:rFonts w:ascii="Calibri" w:eastAsia="Times New Roman" w:hAnsi="Calibri" w:cs="Times New Roman"/>
                <w:color w:val="000000"/>
                <w:lang w:eastAsia="fr-FR"/>
              </w:rPr>
              <w:t>29,8</w:t>
            </w:r>
          </w:p>
        </w:tc>
      </w:tr>
    </w:tbl>
    <w:p w:rsidR="0071743F" w:rsidRPr="00F54821" w:rsidRDefault="0071743F" w:rsidP="0071743F">
      <w:pPr>
        <w:rPr>
          <w:sz w:val="28"/>
          <w:szCs w:val="28"/>
        </w:rPr>
      </w:pPr>
      <w:r>
        <w:rPr>
          <w:sz w:val="28"/>
          <w:szCs w:val="28"/>
        </w:rPr>
        <w:lastRenderedPageBreak/>
        <w:t>V</w:t>
      </w:r>
      <w:r>
        <w:rPr>
          <w:sz w:val="28"/>
          <w:szCs w:val="28"/>
        </w:rPr>
        <w:t>I</w:t>
      </w:r>
      <w:r>
        <w:rPr>
          <w:sz w:val="28"/>
          <w:szCs w:val="28"/>
        </w:rPr>
        <w:t xml:space="preserve">- </w:t>
      </w:r>
      <w:r>
        <w:rPr>
          <w:sz w:val="28"/>
          <w:szCs w:val="28"/>
        </w:rPr>
        <w:t>Intégration d’une phase de transition au démarrage de l’effort.</w:t>
      </w:r>
    </w:p>
    <w:p w:rsidR="0071743F" w:rsidRDefault="0071743F" w:rsidP="0071743F"/>
    <w:p w:rsidR="00215505" w:rsidRDefault="0071743F" w:rsidP="0071743F">
      <w:r>
        <w:t>Il est raisonnable de penser  que les émissions ne vont pas passer directement d’une situation de faible croissance à une situation de réduction continue comprise entre -5 et -10%.</w:t>
      </w:r>
    </w:p>
    <w:p w:rsidR="0071743F" w:rsidRDefault="0071743F" w:rsidP="0071743F">
      <w:r>
        <w:t>L’amorçage de l’effort peut cependant se faire sur 2-3 ans.</w:t>
      </w:r>
    </w:p>
    <w:p w:rsidR="0071743F" w:rsidRDefault="0071743F" w:rsidP="0071743F"/>
    <w:p w:rsidR="0071743F" w:rsidRDefault="0071743F" w:rsidP="0071743F">
      <w:r>
        <w:t>La courbe suivante présente un scénario de réduction qui démarre en 2018 pour « récupérer »</w:t>
      </w:r>
      <w:r w:rsidR="00D17D88">
        <w:t xml:space="preserve"> la courbe expo</w:t>
      </w:r>
      <w:r>
        <w:t xml:space="preserve">nentielle de l’année 2020, soit une réduction continue de </w:t>
      </w:r>
      <w:r w:rsidR="00EF3296">
        <w:t xml:space="preserve">l’ordre de </w:t>
      </w:r>
      <w:bookmarkStart w:id="0" w:name="_GoBack"/>
      <w:bookmarkEnd w:id="0"/>
      <w:r>
        <w:t>-7%.</w:t>
      </w:r>
    </w:p>
    <w:p w:rsidR="00D17D88" w:rsidRDefault="00D17D88" w:rsidP="0071743F"/>
    <w:p w:rsidR="00D17D88" w:rsidRDefault="00D17D88" w:rsidP="0071743F"/>
    <w:p w:rsidR="00D17D88" w:rsidRDefault="00D17D88" w:rsidP="0071743F"/>
    <w:p w:rsidR="00D17D88" w:rsidRDefault="00D17D88" w:rsidP="0071743F"/>
    <w:p w:rsidR="0071743F" w:rsidRDefault="0071743F" w:rsidP="0071743F"/>
    <w:p w:rsidR="00D17D88" w:rsidRPr="00E02170" w:rsidRDefault="00D17D88" w:rsidP="0071743F">
      <w:r>
        <w:rPr>
          <w:noProof/>
          <w:lang w:eastAsia="fr-FR"/>
        </w:rPr>
        <w:drawing>
          <wp:inline distT="0" distB="0" distL="0" distR="0">
            <wp:extent cx="5760720" cy="3141100"/>
            <wp:effectExtent l="0" t="0" r="0" b="2540"/>
            <wp:docPr id="1" name="Image 1" descr="C:\Users\Pierre\Documents\Transition\The Shift Project\COP 21 INDC\Courbes Emission Carbone\courbe moyen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Documents\Transition\The Shift Project\COP 21 INDC\Courbes Emission Carbone\courbe moyenn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141100"/>
                    </a:xfrm>
                    <a:prstGeom prst="rect">
                      <a:avLst/>
                    </a:prstGeom>
                    <a:noFill/>
                    <a:ln>
                      <a:noFill/>
                    </a:ln>
                  </pic:spPr>
                </pic:pic>
              </a:graphicData>
            </a:graphic>
          </wp:inline>
        </w:drawing>
      </w:r>
    </w:p>
    <w:sectPr w:rsidR="00D17D88" w:rsidRPr="00E02170" w:rsidSect="00E53AEC">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FC" w:rsidRDefault="00C31AFC" w:rsidP="002149C7">
      <w:r>
        <w:separator/>
      </w:r>
    </w:p>
  </w:endnote>
  <w:endnote w:type="continuationSeparator" w:id="0">
    <w:p w:rsidR="00C31AFC" w:rsidRDefault="00C31AFC" w:rsidP="0021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EC" w:rsidRDefault="00E53AEC">
    <w:pPr>
      <w:pStyle w:val="Pieddepage"/>
    </w:pPr>
    <w:r>
      <w:t>Pierre Lachaize.  Novembre 2016.</w:t>
    </w:r>
  </w:p>
  <w:p w:rsidR="002149C7" w:rsidRDefault="002149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FC" w:rsidRDefault="00C31AFC" w:rsidP="002149C7">
      <w:r>
        <w:separator/>
      </w:r>
    </w:p>
  </w:footnote>
  <w:footnote w:type="continuationSeparator" w:id="0">
    <w:p w:rsidR="00C31AFC" w:rsidRDefault="00C31AFC" w:rsidP="0021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46464"/>
      <w:docPartObj>
        <w:docPartGallery w:val="Page Numbers (Top of Page)"/>
        <w:docPartUnique/>
      </w:docPartObj>
    </w:sdtPr>
    <w:sdtEndPr/>
    <w:sdtContent>
      <w:p w:rsidR="00E53AEC" w:rsidRDefault="00E53AEC">
        <w:pPr>
          <w:pStyle w:val="En-tte"/>
          <w:jc w:val="right"/>
        </w:pPr>
        <w:r>
          <w:fldChar w:fldCharType="begin"/>
        </w:r>
        <w:r>
          <w:instrText>PAGE   \* MERGEFORMAT</w:instrText>
        </w:r>
        <w:r>
          <w:fldChar w:fldCharType="separate"/>
        </w:r>
        <w:r w:rsidR="00EF3296">
          <w:rPr>
            <w:noProof/>
          </w:rPr>
          <w:t>2</w:t>
        </w:r>
        <w:r>
          <w:fldChar w:fldCharType="end"/>
        </w:r>
      </w:p>
    </w:sdtContent>
  </w:sdt>
  <w:p w:rsidR="00E53AEC" w:rsidRDefault="00E53A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7FE7"/>
    <w:multiLevelType w:val="hybridMultilevel"/>
    <w:tmpl w:val="38E65694"/>
    <w:lvl w:ilvl="0" w:tplc="58C86D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742D9B"/>
    <w:multiLevelType w:val="hybridMultilevel"/>
    <w:tmpl w:val="C1B23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CE"/>
    <w:rsid w:val="00064C80"/>
    <w:rsid w:val="000A12E3"/>
    <w:rsid w:val="0015222C"/>
    <w:rsid w:val="001C7569"/>
    <w:rsid w:val="001E0982"/>
    <w:rsid w:val="002149C7"/>
    <w:rsid w:val="00215505"/>
    <w:rsid w:val="002356DA"/>
    <w:rsid w:val="00591A5F"/>
    <w:rsid w:val="00657190"/>
    <w:rsid w:val="006972BB"/>
    <w:rsid w:val="006A0F3B"/>
    <w:rsid w:val="006D2F34"/>
    <w:rsid w:val="006D7E1F"/>
    <w:rsid w:val="0071743F"/>
    <w:rsid w:val="007C38D9"/>
    <w:rsid w:val="00823500"/>
    <w:rsid w:val="0083183A"/>
    <w:rsid w:val="00840EA5"/>
    <w:rsid w:val="008A3679"/>
    <w:rsid w:val="009B4F29"/>
    <w:rsid w:val="00A14448"/>
    <w:rsid w:val="00A322E1"/>
    <w:rsid w:val="00B306CE"/>
    <w:rsid w:val="00B90743"/>
    <w:rsid w:val="00BA37B7"/>
    <w:rsid w:val="00C31AFC"/>
    <w:rsid w:val="00CA5CE4"/>
    <w:rsid w:val="00D17D88"/>
    <w:rsid w:val="00D3292B"/>
    <w:rsid w:val="00D93361"/>
    <w:rsid w:val="00E02170"/>
    <w:rsid w:val="00E53AEC"/>
    <w:rsid w:val="00EB051D"/>
    <w:rsid w:val="00EE5AAE"/>
    <w:rsid w:val="00EF3296"/>
    <w:rsid w:val="00F32413"/>
    <w:rsid w:val="00F422A4"/>
    <w:rsid w:val="00F54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6DA"/>
    <w:pPr>
      <w:ind w:left="720"/>
      <w:contextualSpacing/>
    </w:pPr>
  </w:style>
  <w:style w:type="paragraph" w:styleId="Textedebulles">
    <w:name w:val="Balloon Text"/>
    <w:basedOn w:val="Normal"/>
    <w:link w:val="TextedebullesCar"/>
    <w:uiPriority w:val="99"/>
    <w:semiHidden/>
    <w:unhideWhenUsed/>
    <w:rsid w:val="00215505"/>
    <w:rPr>
      <w:rFonts w:ascii="Tahoma" w:hAnsi="Tahoma" w:cs="Tahoma"/>
      <w:sz w:val="16"/>
      <w:szCs w:val="16"/>
    </w:rPr>
  </w:style>
  <w:style w:type="character" w:customStyle="1" w:styleId="TextedebullesCar">
    <w:name w:val="Texte de bulles Car"/>
    <w:basedOn w:val="Policepardfaut"/>
    <w:link w:val="Textedebulles"/>
    <w:uiPriority w:val="99"/>
    <w:semiHidden/>
    <w:rsid w:val="00215505"/>
    <w:rPr>
      <w:rFonts w:ascii="Tahoma" w:hAnsi="Tahoma" w:cs="Tahoma"/>
      <w:sz w:val="16"/>
      <w:szCs w:val="16"/>
    </w:rPr>
  </w:style>
  <w:style w:type="paragraph" w:styleId="En-tte">
    <w:name w:val="header"/>
    <w:basedOn w:val="Normal"/>
    <w:link w:val="En-tteCar"/>
    <w:uiPriority w:val="99"/>
    <w:unhideWhenUsed/>
    <w:rsid w:val="002149C7"/>
    <w:pPr>
      <w:tabs>
        <w:tab w:val="center" w:pos="4536"/>
        <w:tab w:val="right" w:pos="9072"/>
      </w:tabs>
    </w:pPr>
  </w:style>
  <w:style w:type="character" w:customStyle="1" w:styleId="En-tteCar">
    <w:name w:val="En-tête Car"/>
    <w:basedOn w:val="Policepardfaut"/>
    <w:link w:val="En-tte"/>
    <w:uiPriority w:val="99"/>
    <w:rsid w:val="002149C7"/>
  </w:style>
  <w:style w:type="paragraph" w:styleId="Pieddepage">
    <w:name w:val="footer"/>
    <w:basedOn w:val="Normal"/>
    <w:link w:val="PieddepageCar"/>
    <w:uiPriority w:val="99"/>
    <w:unhideWhenUsed/>
    <w:rsid w:val="002149C7"/>
    <w:pPr>
      <w:tabs>
        <w:tab w:val="center" w:pos="4536"/>
        <w:tab w:val="right" w:pos="9072"/>
      </w:tabs>
    </w:pPr>
  </w:style>
  <w:style w:type="character" w:customStyle="1" w:styleId="PieddepageCar">
    <w:name w:val="Pied de page Car"/>
    <w:basedOn w:val="Policepardfaut"/>
    <w:link w:val="Pieddepage"/>
    <w:uiPriority w:val="99"/>
    <w:rsid w:val="002149C7"/>
  </w:style>
  <w:style w:type="paragraph" w:customStyle="1" w:styleId="2909F619802848F09E01365C32F34654">
    <w:name w:val="2909F619802848F09E01365C32F34654"/>
    <w:rsid w:val="002149C7"/>
    <w:pPr>
      <w:spacing w:after="200" w:line="276" w:lineRule="auto"/>
    </w:pPr>
    <w:rPr>
      <w:rFonts w:eastAsiaTheme="minorEastAsia"/>
      <w:lang w:eastAsia="fr-FR"/>
    </w:rPr>
  </w:style>
  <w:style w:type="character" w:styleId="Lienhypertexte">
    <w:name w:val="Hyperlink"/>
    <w:basedOn w:val="Policepardfaut"/>
    <w:uiPriority w:val="99"/>
    <w:semiHidden/>
    <w:unhideWhenUsed/>
    <w:rsid w:val="00E53AEC"/>
    <w:rPr>
      <w:color w:val="0000FF"/>
      <w:u w:val="single"/>
    </w:rPr>
  </w:style>
  <w:style w:type="paragraph" w:customStyle="1" w:styleId="Default">
    <w:name w:val="Default"/>
    <w:rsid w:val="000A12E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6DA"/>
    <w:pPr>
      <w:ind w:left="720"/>
      <w:contextualSpacing/>
    </w:pPr>
  </w:style>
  <w:style w:type="paragraph" w:styleId="Textedebulles">
    <w:name w:val="Balloon Text"/>
    <w:basedOn w:val="Normal"/>
    <w:link w:val="TextedebullesCar"/>
    <w:uiPriority w:val="99"/>
    <w:semiHidden/>
    <w:unhideWhenUsed/>
    <w:rsid w:val="00215505"/>
    <w:rPr>
      <w:rFonts w:ascii="Tahoma" w:hAnsi="Tahoma" w:cs="Tahoma"/>
      <w:sz w:val="16"/>
      <w:szCs w:val="16"/>
    </w:rPr>
  </w:style>
  <w:style w:type="character" w:customStyle="1" w:styleId="TextedebullesCar">
    <w:name w:val="Texte de bulles Car"/>
    <w:basedOn w:val="Policepardfaut"/>
    <w:link w:val="Textedebulles"/>
    <w:uiPriority w:val="99"/>
    <w:semiHidden/>
    <w:rsid w:val="00215505"/>
    <w:rPr>
      <w:rFonts w:ascii="Tahoma" w:hAnsi="Tahoma" w:cs="Tahoma"/>
      <w:sz w:val="16"/>
      <w:szCs w:val="16"/>
    </w:rPr>
  </w:style>
  <w:style w:type="paragraph" w:styleId="En-tte">
    <w:name w:val="header"/>
    <w:basedOn w:val="Normal"/>
    <w:link w:val="En-tteCar"/>
    <w:uiPriority w:val="99"/>
    <w:unhideWhenUsed/>
    <w:rsid w:val="002149C7"/>
    <w:pPr>
      <w:tabs>
        <w:tab w:val="center" w:pos="4536"/>
        <w:tab w:val="right" w:pos="9072"/>
      </w:tabs>
    </w:pPr>
  </w:style>
  <w:style w:type="character" w:customStyle="1" w:styleId="En-tteCar">
    <w:name w:val="En-tête Car"/>
    <w:basedOn w:val="Policepardfaut"/>
    <w:link w:val="En-tte"/>
    <w:uiPriority w:val="99"/>
    <w:rsid w:val="002149C7"/>
  </w:style>
  <w:style w:type="paragraph" w:styleId="Pieddepage">
    <w:name w:val="footer"/>
    <w:basedOn w:val="Normal"/>
    <w:link w:val="PieddepageCar"/>
    <w:uiPriority w:val="99"/>
    <w:unhideWhenUsed/>
    <w:rsid w:val="002149C7"/>
    <w:pPr>
      <w:tabs>
        <w:tab w:val="center" w:pos="4536"/>
        <w:tab w:val="right" w:pos="9072"/>
      </w:tabs>
    </w:pPr>
  </w:style>
  <w:style w:type="character" w:customStyle="1" w:styleId="PieddepageCar">
    <w:name w:val="Pied de page Car"/>
    <w:basedOn w:val="Policepardfaut"/>
    <w:link w:val="Pieddepage"/>
    <w:uiPriority w:val="99"/>
    <w:rsid w:val="002149C7"/>
  </w:style>
  <w:style w:type="paragraph" w:customStyle="1" w:styleId="2909F619802848F09E01365C32F34654">
    <w:name w:val="2909F619802848F09E01365C32F34654"/>
    <w:rsid w:val="002149C7"/>
    <w:pPr>
      <w:spacing w:after="200" w:line="276" w:lineRule="auto"/>
    </w:pPr>
    <w:rPr>
      <w:rFonts w:eastAsiaTheme="minorEastAsia"/>
      <w:lang w:eastAsia="fr-FR"/>
    </w:rPr>
  </w:style>
  <w:style w:type="character" w:styleId="Lienhypertexte">
    <w:name w:val="Hyperlink"/>
    <w:basedOn w:val="Policepardfaut"/>
    <w:uiPriority w:val="99"/>
    <w:semiHidden/>
    <w:unhideWhenUsed/>
    <w:rsid w:val="00E53AEC"/>
    <w:rPr>
      <w:color w:val="0000FF"/>
      <w:u w:val="single"/>
    </w:rPr>
  </w:style>
  <w:style w:type="paragraph" w:customStyle="1" w:styleId="Default">
    <w:name w:val="Default"/>
    <w:rsid w:val="000A12E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834">
      <w:bodyDiv w:val="1"/>
      <w:marLeft w:val="0"/>
      <w:marRight w:val="0"/>
      <w:marTop w:val="0"/>
      <w:marBottom w:val="0"/>
      <w:divBdr>
        <w:top w:val="none" w:sz="0" w:space="0" w:color="auto"/>
        <w:left w:val="none" w:sz="0" w:space="0" w:color="auto"/>
        <w:bottom w:val="none" w:sz="0" w:space="0" w:color="auto"/>
        <w:right w:val="none" w:sz="0" w:space="0" w:color="auto"/>
      </w:divBdr>
    </w:div>
    <w:div w:id="1328897413">
      <w:bodyDiv w:val="1"/>
      <w:marLeft w:val="0"/>
      <w:marRight w:val="0"/>
      <w:marTop w:val="0"/>
      <w:marBottom w:val="0"/>
      <w:divBdr>
        <w:top w:val="none" w:sz="0" w:space="0" w:color="auto"/>
        <w:left w:val="none" w:sz="0" w:space="0" w:color="auto"/>
        <w:bottom w:val="none" w:sz="0" w:space="0" w:color="auto"/>
        <w:right w:val="none" w:sz="0" w:space="0" w:color="auto"/>
      </w:divBdr>
    </w:div>
    <w:div w:id="1477793334">
      <w:bodyDiv w:val="1"/>
      <w:marLeft w:val="0"/>
      <w:marRight w:val="0"/>
      <w:marTop w:val="0"/>
      <w:marBottom w:val="0"/>
      <w:divBdr>
        <w:top w:val="none" w:sz="0" w:space="0" w:color="auto"/>
        <w:left w:val="none" w:sz="0" w:space="0" w:color="auto"/>
        <w:bottom w:val="none" w:sz="0" w:space="0" w:color="auto"/>
        <w:right w:val="none" w:sz="0" w:space="0" w:color="auto"/>
      </w:divBdr>
    </w:div>
    <w:div w:id="1693409679">
      <w:bodyDiv w:val="1"/>
      <w:marLeft w:val="0"/>
      <w:marRight w:val="0"/>
      <w:marTop w:val="0"/>
      <w:marBottom w:val="0"/>
      <w:divBdr>
        <w:top w:val="none" w:sz="0" w:space="0" w:color="auto"/>
        <w:left w:val="none" w:sz="0" w:space="0" w:color="auto"/>
        <w:bottom w:val="none" w:sz="0" w:space="0" w:color="auto"/>
        <w:right w:val="none" w:sz="0" w:space="0" w:color="auto"/>
      </w:divBdr>
      <w:divsChild>
        <w:div w:id="2047093972">
          <w:marLeft w:val="0"/>
          <w:marRight w:val="0"/>
          <w:marTop w:val="0"/>
          <w:marBottom w:val="0"/>
          <w:divBdr>
            <w:top w:val="none" w:sz="0" w:space="0" w:color="auto"/>
            <w:left w:val="none" w:sz="0" w:space="0" w:color="auto"/>
            <w:bottom w:val="none" w:sz="0" w:space="0" w:color="auto"/>
            <w:right w:val="none" w:sz="0" w:space="0" w:color="auto"/>
          </w:divBdr>
        </w:div>
        <w:div w:id="1169826744">
          <w:marLeft w:val="0"/>
          <w:marRight w:val="0"/>
          <w:marTop w:val="0"/>
          <w:marBottom w:val="0"/>
          <w:divBdr>
            <w:top w:val="none" w:sz="0" w:space="0" w:color="auto"/>
            <w:left w:val="none" w:sz="0" w:space="0" w:color="auto"/>
            <w:bottom w:val="none" w:sz="0" w:space="0" w:color="auto"/>
            <w:right w:val="none" w:sz="0" w:space="0" w:color="auto"/>
          </w:divBdr>
        </w:div>
        <w:div w:id="1529177568">
          <w:marLeft w:val="0"/>
          <w:marRight w:val="0"/>
          <w:marTop w:val="0"/>
          <w:marBottom w:val="0"/>
          <w:divBdr>
            <w:top w:val="none" w:sz="0" w:space="0" w:color="auto"/>
            <w:left w:val="none" w:sz="0" w:space="0" w:color="auto"/>
            <w:bottom w:val="none" w:sz="0" w:space="0" w:color="auto"/>
            <w:right w:val="none" w:sz="0" w:space="0" w:color="auto"/>
          </w:divBdr>
        </w:div>
        <w:div w:id="1902249018">
          <w:marLeft w:val="0"/>
          <w:marRight w:val="0"/>
          <w:marTop w:val="0"/>
          <w:marBottom w:val="0"/>
          <w:divBdr>
            <w:top w:val="none" w:sz="0" w:space="0" w:color="auto"/>
            <w:left w:val="none" w:sz="0" w:space="0" w:color="auto"/>
            <w:bottom w:val="none" w:sz="0" w:space="0" w:color="auto"/>
            <w:right w:val="none" w:sz="0" w:space="0" w:color="auto"/>
          </w:divBdr>
        </w:div>
        <w:div w:id="591400424">
          <w:marLeft w:val="0"/>
          <w:marRight w:val="0"/>
          <w:marTop w:val="0"/>
          <w:marBottom w:val="0"/>
          <w:divBdr>
            <w:top w:val="none" w:sz="0" w:space="0" w:color="auto"/>
            <w:left w:val="none" w:sz="0" w:space="0" w:color="auto"/>
            <w:bottom w:val="none" w:sz="0" w:space="0" w:color="auto"/>
            <w:right w:val="none" w:sz="0" w:space="0" w:color="auto"/>
          </w:divBdr>
        </w:div>
        <w:div w:id="2103453225">
          <w:marLeft w:val="0"/>
          <w:marRight w:val="0"/>
          <w:marTop w:val="0"/>
          <w:marBottom w:val="0"/>
          <w:divBdr>
            <w:top w:val="none" w:sz="0" w:space="0" w:color="auto"/>
            <w:left w:val="none" w:sz="0" w:space="0" w:color="auto"/>
            <w:bottom w:val="none" w:sz="0" w:space="0" w:color="auto"/>
            <w:right w:val="none" w:sz="0" w:space="0" w:color="auto"/>
          </w:divBdr>
        </w:div>
        <w:div w:id="305746339">
          <w:marLeft w:val="0"/>
          <w:marRight w:val="0"/>
          <w:marTop w:val="0"/>
          <w:marBottom w:val="0"/>
          <w:divBdr>
            <w:top w:val="none" w:sz="0" w:space="0" w:color="auto"/>
            <w:left w:val="none" w:sz="0" w:space="0" w:color="auto"/>
            <w:bottom w:val="none" w:sz="0" w:space="0" w:color="auto"/>
            <w:right w:val="none" w:sz="0" w:space="0" w:color="auto"/>
          </w:divBdr>
        </w:div>
        <w:div w:id="2046980621">
          <w:marLeft w:val="0"/>
          <w:marRight w:val="0"/>
          <w:marTop w:val="0"/>
          <w:marBottom w:val="0"/>
          <w:divBdr>
            <w:top w:val="none" w:sz="0" w:space="0" w:color="auto"/>
            <w:left w:val="none" w:sz="0" w:space="0" w:color="auto"/>
            <w:bottom w:val="none" w:sz="0" w:space="0" w:color="auto"/>
            <w:right w:val="none" w:sz="0" w:space="0" w:color="auto"/>
          </w:divBdr>
        </w:div>
        <w:div w:id="166213345">
          <w:marLeft w:val="0"/>
          <w:marRight w:val="0"/>
          <w:marTop w:val="0"/>
          <w:marBottom w:val="0"/>
          <w:divBdr>
            <w:top w:val="none" w:sz="0" w:space="0" w:color="auto"/>
            <w:left w:val="none" w:sz="0" w:space="0" w:color="auto"/>
            <w:bottom w:val="none" w:sz="0" w:space="0" w:color="auto"/>
            <w:right w:val="none" w:sz="0" w:space="0" w:color="auto"/>
          </w:divBdr>
        </w:div>
        <w:div w:id="2026396363">
          <w:marLeft w:val="0"/>
          <w:marRight w:val="0"/>
          <w:marTop w:val="0"/>
          <w:marBottom w:val="0"/>
          <w:divBdr>
            <w:top w:val="none" w:sz="0" w:space="0" w:color="auto"/>
            <w:left w:val="none" w:sz="0" w:space="0" w:color="auto"/>
            <w:bottom w:val="none" w:sz="0" w:space="0" w:color="auto"/>
            <w:right w:val="none" w:sz="0" w:space="0" w:color="auto"/>
          </w:divBdr>
        </w:div>
        <w:div w:id="781070997">
          <w:marLeft w:val="0"/>
          <w:marRight w:val="0"/>
          <w:marTop w:val="0"/>
          <w:marBottom w:val="0"/>
          <w:divBdr>
            <w:top w:val="none" w:sz="0" w:space="0" w:color="auto"/>
            <w:left w:val="none" w:sz="0" w:space="0" w:color="auto"/>
            <w:bottom w:val="none" w:sz="0" w:space="0" w:color="auto"/>
            <w:right w:val="none" w:sz="0" w:space="0" w:color="auto"/>
          </w:divBdr>
        </w:div>
        <w:div w:id="586695933">
          <w:marLeft w:val="0"/>
          <w:marRight w:val="0"/>
          <w:marTop w:val="0"/>
          <w:marBottom w:val="0"/>
          <w:divBdr>
            <w:top w:val="none" w:sz="0" w:space="0" w:color="auto"/>
            <w:left w:val="none" w:sz="0" w:space="0" w:color="auto"/>
            <w:bottom w:val="none" w:sz="0" w:space="0" w:color="auto"/>
            <w:right w:val="none" w:sz="0" w:space="0" w:color="auto"/>
          </w:divBdr>
        </w:div>
        <w:div w:id="676345086">
          <w:marLeft w:val="0"/>
          <w:marRight w:val="0"/>
          <w:marTop w:val="0"/>
          <w:marBottom w:val="0"/>
          <w:divBdr>
            <w:top w:val="none" w:sz="0" w:space="0" w:color="auto"/>
            <w:left w:val="none" w:sz="0" w:space="0" w:color="auto"/>
            <w:bottom w:val="none" w:sz="0" w:space="0" w:color="auto"/>
            <w:right w:val="none" w:sz="0" w:space="0" w:color="auto"/>
          </w:divBdr>
        </w:div>
        <w:div w:id="9719995">
          <w:marLeft w:val="0"/>
          <w:marRight w:val="0"/>
          <w:marTop w:val="0"/>
          <w:marBottom w:val="0"/>
          <w:divBdr>
            <w:top w:val="none" w:sz="0" w:space="0" w:color="auto"/>
            <w:left w:val="none" w:sz="0" w:space="0" w:color="auto"/>
            <w:bottom w:val="none" w:sz="0" w:space="0" w:color="auto"/>
            <w:right w:val="none" w:sz="0" w:space="0" w:color="auto"/>
          </w:divBdr>
        </w:div>
        <w:div w:id="1072197724">
          <w:marLeft w:val="0"/>
          <w:marRight w:val="0"/>
          <w:marTop w:val="0"/>
          <w:marBottom w:val="0"/>
          <w:divBdr>
            <w:top w:val="none" w:sz="0" w:space="0" w:color="auto"/>
            <w:left w:val="none" w:sz="0" w:space="0" w:color="auto"/>
            <w:bottom w:val="none" w:sz="0" w:space="0" w:color="auto"/>
            <w:right w:val="none" w:sz="0" w:space="0" w:color="auto"/>
          </w:divBdr>
        </w:div>
        <w:div w:id="68756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focus/indc_portal/items/9240.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Lachaize</dc:creator>
  <cp:lastModifiedBy>Pierre</cp:lastModifiedBy>
  <cp:revision>22</cp:revision>
  <cp:lastPrinted>2016-11-10T08:29:00Z</cp:lastPrinted>
  <dcterms:created xsi:type="dcterms:W3CDTF">2016-11-08T13:06:00Z</dcterms:created>
  <dcterms:modified xsi:type="dcterms:W3CDTF">2016-11-10T08:59:00Z</dcterms:modified>
</cp:coreProperties>
</file>