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20" w:rsidRPr="00CF0DFF" w:rsidRDefault="00D81819" w:rsidP="006E3CE1">
      <w:pPr>
        <w:pStyle w:val="Titre"/>
        <w:pBdr>
          <w:bottom w:val="thinThickSmallGap" w:sz="24" w:space="1" w:color="auto"/>
        </w:pBdr>
        <w:shd w:val="clear" w:color="auto" w:fill="DBE5F1" w:themeFill="accent1" w:themeFillTint="33"/>
        <w:spacing w:after="0"/>
      </w:pPr>
      <w:r>
        <w:t>Hydroélectricité</w:t>
      </w:r>
    </w:p>
    <w:p w:rsidR="006E3CE1" w:rsidRDefault="009912DF" w:rsidP="006E3CE1">
      <w:r>
        <w:t xml:space="preserve">Présentation donnée le 22 avril 2013 par </w:t>
      </w:r>
      <w:r w:rsidRPr="00E741EC">
        <w:rPr>
          <w:b/>
          <w:u w:val="single"/>
        </w:rPr>
        <w:t>Sébastien Legrand</w:t>
      </w:r>
      <w:r>
        <w:t xml:space="preserve">, bénévole de </w:t>
      </w:r>
      <w:proofErr w:type="spellStart"/>
      <w:r>
        <w:t>Tsp</w:t>
      </w:r>
      <w:proofErr w:type="spellEnd"/>
      <w:r>
        <w:t>, qui travaille à la CNP, Compagnie National du Rhône.</w:t>
      </w:r>
    </w:p>
    <w:p w:rsidR="009912DF" w:rsidRDefault="009912DF" w:rsidP="006E3CE1"/>
    <w:p w:rsidR="00C57D00" w:rsidRDefault="00C57D00" w:rsidP="006E3CE1">
      <w:r>
        <w:t>HE := hydroélectricité dans tout le compte-rendu.</w:t>
      </w:r>
    </w:p>
    <w:p w:rsidR="00C57D00" w:rsidRDefault="00C57D00" w:rsidP="006E3CE1"/>
    <w:p w:rsidR="006605FF" w:rsidRDefault="009912DF" w:rsidP="00C57D00">
      <w:pPr>
        <w:pStyle w:val="Paragraphedeliste"/>
        <w:numPr>
          <w:ilvl w:val="0"/>
          <w:numId w:val="8"/>
        </w:numPr>
      </w:pPr>
      <w:r>
        <w:t>« Les barrages » est un en</w:t>
      </w:r>
      <w:r w:rsidR="00C57D00">
        <w:t>semble d’ouvrages qui englobent des réalités très disparates ; d’emblée, c</w:t>
      </w:r>
      <w:r w:rsidR="006605FF">
        <w:t>ertains barrages sont p</w:t>
      </w:r>
      <w:r w:rsidR="00C57D00">
        <w:t>our usages agricoles seulement. En ce qui concerne la production d’électricité, on distingue :</w:t>
      </w:r>
    </w:p>
    <w:p w:rsidR="006605FF" w:rsidRDefault="00C57D00" w:rsidP="00C57D00">
      <w:pPr>
        <w:pStyle w:val="Paragraphedeliste"/>
        <w:numPr>
          <w:ilvl w:val="1"/>
          <w:numId w:val="8"/>
        </w:numPr>
      </w:pPr>
      <w:r>
        <w:t xml:space="preserve">La production sans </w:t>
      </w:r>
      <w:r w:rsidR="006605FF">
        <w:t xml:space="preserve">rétention d’eau, </w:t>
      </w:r>
      <w:r w:rsidR="006605FF" w:rsidRPr="00C57D00">
        <w:rPr>
          <w:b/>
        </w:rPr>
        <w:t xml:space="preserve">le </w:t>
      </w:r>
      <w:r w:rsidR="006605FF" w:rsidRPr="007F04D6">
        <w:rPr>
          <w:b/>
          <w:color w:val="FF0000"/>
          <w:u w:val="single"/>
        </w:rPr>
        <w:t>fil de l’eau</w:t>
      </w:r>
      <w:r w:rsidRPr="007F04D6">
        <w:rPr>
          <w:b/>
          <w:color w:val="FF0000"/>
        </w:rPr>
        <w:t xml:space="preserve"> qui a une production stable servant à la « base » : </w:t>
      </w:r>
      <w:r w:rsidR="006605FF" w:rsidRPr="007F04D6">
        <w:rPr>
          <w:b/>
          <w:color w:val="FF0000"/>
        </w:rPr>
        <w:t xml:space="preserve">7 600 </w:t>
      </w:r>
      <w:r w:rsidRPr="007F04D6">
        <w:rPr>
          <w:b/>
          <w:color w:val="FF0000"/>
        </w:rPr>
        <w:t>MW</w:t>
      </w:r>
      <w:r w:rsidR="006605FF" w:rsidRPr="007F04D6">
        <w:rPr>
          <w:b/>
          <w:color w:val="FF0000"/>
        </w:rPr>
        <w:t xml:space="preserve"> </w:t>
      </w:r>
      <w:r w:rsidRPr="007F04D6">
        <w:rPr>
          <w:b/>
          <w:color w:val="FF0000"/>
        </w:rPr>
        <w:t xml:space="preserve">installés </w:t>
      </w:r>
      <w:r w:rsidR="006605FF" w:rsidRPr="007F04D6">
        <w:rPr>
          <w:b/>
          <w:color w:val="FF0000"/>
        </w:rPr>
        <w:t xml:space="preserve">en France, 37 </w:t>
      </w:r>
      <w:r w:rsidRPr="007F04D6">
        <w:rPr>
          <w:b/>
          <w:color w:val="FF0000"/>
        </w:rPr>
        <w:t>TW</w:t>
      </w:r>
      <w:r w:rsidR="006605FF" w:rsidRPr="007F04D6">
        <w:rPr>
          <w:b/>
          <w:color w:val="FF0000"/>
        </w:rPr>
        <w:t xml:space="preserve">h </w:t>
      </w:r>
      <w:r w:rsidRPr="007F04D6">
        <w:rPr>
          <w:b/>
          <w:color w:val="FF0000"/>
        </w:rPr>
        <w:t>délivrés par an</w:t>
      </w:r>
      <w:r>
        <w:rPr>
          <w:b/>
        </w:rPr>
        <w:t>, au</w:t>
      </w:r>
      <w:r w:rsidR="006605FF" w:rsidRPr="00C57D00">
        <w:rPr>
          <w:b/>
        </w:rPr>
        <w:t xml:space="preserve"> 2/3</w:t>
      </w:r>
      <w:r>
        <w:rPr>
          <w:b/>
        </w:rPr>
        <w:t xml:space="preserve"> par</w:t>
      </w:r>
      <w:r w:rsidR="006605FF" w:rsidRPr="00C57D00">
        <w:rPr>
          <w:b/>
        </w:rPr>
        <w:t xml:space="preserve"> Rhône + Rhin</w:t>
      </w:r>
      <w:r w:rsidR="006605FF">
        <w:t> ;</w:t>
      </w:r>
    </w:p>
    <w:p w:rsidR="006605FF" w:rsidRDefault="006605FF" w:rsidP="00C57D00">
      <w:pPr>
        <w:pStyle w:val="Paragraphedeliste"/>
        <w:numPr>
          <w:ilvl w:val="1"/>
          <w:numId w:val="8"/>
        </w:numPr>
      </w:pPr>
      <w:r w:rsidRPr="007F04D6">
        <w:rPr>
          <w:b/>
          <w:color w:val="FF0000"/>
          <w:u w:val="single"/>
        </w:rPr>
        <w:t>De lac</w:t>
      </w:r>
      <w:r w:rsidRPr="007F04D6">
        <w:rPr>
          <w:color w:val="FF0000"/>
        </w:rPr>
        <w:t xml:space="preserve"> versus </w:t>
      </w:r>
      <w:r w:rsidRPr="007F04D6">
        <w:rPr>
          <w:b/>
          <w:color w:val="FF0000"/>
          <w:u w:val="single"/>
        </w:rPr>
        <w:t>d’éclusée</w:t>
      </w:r>
      <w:r w:rsidR="00C57D00" w:rsidRPr="007F04D6">
        <w:rPr>
          <w:b/>
          <w:color w:val="FF0000"/>
          <w:u w:val="single"/>
        </w:rPr>
        <w:t>s</w:t>
      </w:r>
      <w:r>
        <w:t xml:space="preserve"> : </w:t>
      </w:r>
      <w:r w:rsidR="00C57D00">
        <w:t xml:space="preserve">selon que le temps de remplissage soit de plus </w:t>
      </w:r>
      <w:r>
        <w:t xml:space="preserve">ou </w:t>
      </w:r>
      <w:r w:rsidR="00C57D00">
        <w:t xml:space="preserve">de </w:t>
      </w:r>
      <w:r>
        <w:t>moins de 400h</w:t>
      </w:r>
      <w:r w:rsidR="00C57D00">
        <w:t xml:space="preserve"> ; l’HE de lac est réservée à des </w:t>
      </w:r>
      <w:r>
        <w:t>modulation</w:t>
      </w:r>
      <w:r w:rsidR="00C57D00">
        <w:t>s</w:t>
      </w:r>
      <w:r>
        <w:t xml:space="preserve"> saisonnière</w:t>
      </w:r>
      <w:r w:rsidR="00C57D00">
        <w:t>s</w:t>
      </w:r>
      <w:r>
        <w:t>,</w:t>
      </w:r>
      <w:r w:rsidR="00C57D00">
        <w:t xml:space="preserve"> tandis que l’HE</w:t>
      </w:r>
      <w:r>
        <w:t xml:space="preserve"> d’éclusée </w:t>
      </w:r>
      <w:r w:rsidR="00C57D00">
        <w:t xml:space="preserve">est appelée pour </w:t>
      </w:r>
      <w:r>
        <w:t xml:space="preserve">une modulation </w:t>
      </w:r>
      <w:r w:rsidR="00C57D00">
        <w:t>hebdomadaire</w:t>
      </w:r>
      <w:r>
        <w:t>, voire intra journalière ;</w:t>
      </w:r>
    </w:p>
    <w:p w:rsidR="006605FF" w:rsidRDefault="006605FF" w:rsidP="006605FF">
      <w:pPr>
        <w:pStyle w:val="Paragraphedeliste"/>
        <w:numPr>
          <w:ilvl w:val="1"/>
          <w:numId w:val="8"/>
        </w:numPr>
      </w:pPr>
      <w:r>
        <w:t xml:space="preserve">Les </w:t>
      </w:r>
      <w:r w:rsidR="00C57D00" w:rsidRPr="00C57D00">
        <w:rPr>
          <w:b/>
          <w:u w:val="single"/>
        </w:rPr>
        <w:t>STEP</w:t>
      </w:r>
      <w:r>
        <w:t> </w:t>
      </w:r>
      <w:r w:rsidR="00C57D00">
        <w:t xml:space="preserve">(stations de transfert d’énergie par pompage), qui fonctionnent dans le sens de production d’électricité comme dans le sens de stockage gravitaire </w:t>
      </w:r>
      <w:r>
        <w:t xml:space="preserve">: </w:t>
      </w:r>
      <w:r w:rsidR="00C57D00">
        <w:t xml:space="preserve">la France dispose d’une capacité de </w:t>
      </w:r>
      <w:r>
        <w:t>5 G</w:t>
      </w:r>
      <w:r w:rsidR="00C57D00">
        <w:t>W</w:t>
      </w:r>
      <w:r>
        <w:t>, en une dizaine d’installations ;</w:t>
      </w:r>
    </w:p>
    <w:p w:rsidR="006605FF" w:rsidRDefault="00D10489" w:rsidP="006605FF">
      <w:pPr>
        <w:pStyle w:val="Paragraphedeliste"/>
        <w:numPr>
          <w:ilvl w:val="1"/>
          <w:numId w:val="8"/>
        </w:numPr>
      </w:pPr>
      <w:r>
        <w:t xml:space="preserve">Il existe </w:t>
      </w:r>
      <w:r w:rsidR="00C57D00">
        <w:t xml:space="preserve">toute une diversité de </w:t>
      </w:r>
      <w:r>
        <w:t>petites centrales hydroélectriques, de 20 à 10 000 k</w:t>
      </w:r>
      <w:r w:rsidR="00C57D00">
        <w:t>W</w:t>
      </w:r>
      <w:r>
        <w:t> ;</w:t>
      </w:r>
    </w:p>
    <w:p w:rsidR="00D10489" w:rsidRDefault="00D10489" w:rsidP="006605FF">
      <w:pPr>
        <w:pStyle w:val="Paragraphedeliste"/>
        <w:numPr>
          <w:ilvl w:val="1"/>
          <w:numId w:val="8"/>
        </w:numPr>
      </w:pPr>
      <w:r>
        <w:t>Exemples :</w:t>
      </w:r>
    </w:p>
    <w:p w:rsidR="00C57D00" w:rsidRDefault="00C57D00" w:rsidP="00D10489">
      <w:pPr>
        <w:pStyle w:val="Paragraphedeliste"/>
        <w:numPr>
          <w:ilvl w:val="2"/>
          <w:numId w:val="8"/>
        </w:numPr>
      </w:pPr>
      <w:r w:rsidRPr="007F04D6">
        <w:rPr>
          <w:b/>
          <w:color w:val="FF0000"/>
        </w:rPr>
        <w:t>Barrage de Grand Maison sur l’Eau d’</w:t>
      </w:r>
      <w:proofErr w:type="spellStart"/>
      <w:r w:rsidRPr="007F04D6">
        <w:rPr>
          <w:b/>
          <w:color w:val="FF0000"/>
        </w:rPr>
        <w:t>Olle</w:t>
      </w:r>
      <w:proofErr w:type="spellEnd"/>
      <w:r w:rsidRPr="007F04D6">
        <w:rPr>
          <w:b/>
          <w:color w:val="FF0000"/>
        </w:rPr>
        <w:t xml:space="preserve">, lac et </w:t>
      </w:r>
      <w:proofErr w:type="spellStart"/>
      <w:r w:rsidRPr="007F04D6">
        <w:rPr>
          <w:b/>
          <w:color w:val="FF0000"/>
        </w:rPr>
        <w:t>step</w:t>
      </w:r>
      <w:proofErr w:type="spellEnd"/>
      <w:r w:rsidRPr="007F04D6">
        <w:rPr>
          <w:b/>
          <w:color w:val="FF0000"/>
        </w:rPr>
        <w:t>, 1.8 GW</w:t>
      </w:r>
      <w:r>
        <w:t> ;</w:t>
      </w:r>
    </w:p>
    <w:p w:rsidR="00C57D00" w:rsidRPr="00C57D00" w:rsidRDefault="00C57D00" w:rsidP="00C57D00">
      <w:pPr>
        <w:pStyle w:val="Paragraphedeliste"/>
        <w:numPr>
          <w:ilvl w:val="2"/>
          <w:numId w:val="8"/>
        </w:numPr>
      </w:pPr>
      <w:r w:rsidRPr="00C57D00">
        <w:t>Usine de Bollène sur le Rhône (fil de l’eau, 330 MW, 2 TWh/an)</w:t>
      </w:r>
      <w:r>
        <w:t> ;</w:t>
      </w:r>
    </w:p>
    <w:p w:rsidR="00C57D00" w:rsidRPr="00C57D00" w:rsidRDefault="00C57D00" w:rsidP="00C57D00">
      <w:pPr>
        <w:pStyle w:val="Paragraphedeliste"/>
        <w:numPr>
          <w:ilvl w:val="2"/>
          <w:numId w:val="8"/>
        </w:numPr>
      </w:pPr>
      <w:r w:rsidRPr="007F04D6">
        <w:rPr>
          <w:color w:val="FF0000"/>
        </w:rPr>
        <w:t xml:space="preserve">Barrage des 3 Gorges sur le </w:t>
      </w:r>
      <w:proofErr w:type="spellStart"/>
      <w:r w:rsidRPr="007F04D6">
        <w:rPr>
          <w:color w:val="FF0000"/>
        </w:rPr>
        <w:t>Yangtsé</w:t>
      </w:r>
      <w:proofErr w:type="spellEnd"/>
      <w:r w:rsidRPr="00C57D00">
        <w:t xml:space="preserve">, Chine (lac, </w:t>
      </w:r>
      <w:r w:rsidRPr="007F04D6">
        <w:rPr>
          <w:color w:val="FF0000"/>
        </w:rPr>
        <w:t xml:space="preserve">22 000 MW, 84.7 TWh/an, </w:t>
      </w:r>
      <w:r w:rsidRPr="007F04D6">
        <w:rPr>
          <w:b/>
          <w:color w:val="FF0000"/>
        </w:rPr>
        <w:t>7 fois ce qu’on produit sur tout le Rhône !</w:t>
      </w:r>
      <w:r w:rsidRPr="007F04D6">
        <w:rPr>
          <w:color w:val="FF0000"/>
        </w:rPr>
        <w:t>)</w:t>
      </w:r>
    </w:p>
    <w:p w:rsidR="007F04D6" w:rsidRDefault="007F04D6" w:rsidP="00D10489">
      <w:pPr>
        <w:pStyle w:val="Paragraphedeliste"/>
        <w:numPr>
          <w:ilvl w:val="0"/>
          <w:numId w:val="8"/>
        </w:numPr>
      </w:pPr>
      <w:r>
        <w:t>Avantages physiques :</w:t>
      </w:r>
    </w:p>
    <w:p w:rsidR="00351148" w:rsidRDefault="00351148" w:rsidP="007F04D6">
      <w:pPr>
        <w:pStyle w:val="Paragraphedeliste"/>
        <w:numPr>
          <w:ilvl w:val="1"/>
          <w:numId w:val="8"/>
        </w:numPr>
      </w:pPr>
      <w:r>
        <w:t xml:space="preserve">Bilan Carbone des installations : faible, mais à nuancer dans les zones tropicales, du fait de </w:t>
      </w:r>
      <w:r w:rsidR="00C57D00" w:rsidRPr="007F04D6">
        <w:rPr>
          <w:color w:val="FF0000"/>
        </w:rPr>
        <w:t>la putréfaction de la végétation engloutie et activité bactériologique impliqueraient un rejet de méthane</w:t>
      </w:r>
      <w:r w:rsidR="00C57D00">
        <w:t> ;</w:t>
      </w:r>
    </w:p>
    <w:p w:rsidR="001057E7" w:rsidRDefault="001057E7" w:rsidP="007F04D6">
      <w:pPr>
        <w:pStyle w:val="Paragraphedeliste"/>
        <w:numPr>
          <w:ilvl w:val="1"/>
          <w:numId w:val="8"/>
        </w:numPr>
      </w:pPr>
      <w:r>
        <w:t xml:space="preserve">Densité énergétique </w:t>
      </w:r>
      <w:r w:rsidR="007F04D6">
        <w:t xml:space="preserve">forte, </w:t>
      </w:r>
      <w:r>
        <w:t>juste derrière le nucléaire</w:t>
      </w:r>
      <w:r w:rsidR="007F04D6">
        <w:t> ; NDR : je suis surpris quand même de ce résultat, j’aurais mis les centrales thermiques à flamme entre les réacteurs nucléaires et les barrages</w:t>
      </w:r>
      <w:r>
        <w:t> ;</w:t>
      </w:r>
    </w:p>
    <w:p w:rsidR="000A2010" w:rsidRDefault="008E7C52" w:rsidP="007F04D6">
      <w:pPr>
        <w:pStyle w:val="Paragraphedeliste"/>
        <w:numPr>
          <w:ilvl w:val="1"/>
          <w:numId w:val="8"/>
        </w:numPr>
      </w:pPr>
      <w:r>
        <w:t>EROEI de 1 : 20 à 1 : 40</w:t>
      </w:r>
      <w:r w:rsidR="007F04D6">
        <w:t xml:space="preserve"> d’après une illustration de Benoît Thévard.</w:t>
      </w:r>
    </w:p>
    <w:p w:rsidR="000A2010" w:rsidRDefault="000A2010" w:rsidP="00D10489">
      <w:pPr>
        <w:pStyle w:val="Paragraphedeliste"/>
        <w:numPr>
          <w:ilvl w:val="0"/>
          <w:numId w:val="8"/>
        </w:numPr>
      </w:pPr>
      <w:r>
        <w:t>Impact environnemental :</w:t>
      </w:r>
    </w:p>
    <w:p w:rsidR="007F04D6" w:rsidRDefault="007F04D6" w:rsidP="000A2010">
      <w:pPr>
        <w:pStyle w:val="Paragraphedeliste"/>
        <w:numPr>
          <w:ilvl w:val="1"/>
          <w:numId w:val="8"/>
        </w:numPr>
      </w:pPr>
      <w:r>
        <w:t xml:space="preserve">Coupure du fleuve : </w:t>
      </w:r>
      <w:r w:rsidRPr="007F04D6">
        <w:rPr>
          <w:color w:val="FF0000"/>
        </w:rPr>
        <w:t>d</w:t>
      </w:r>
      <w:r w:rsidR="000A2010" w:rsidRPr="007F04D6">
        <w:rPr>
          <w:color w:val="FF0000"/>
        </w:rPr>
        <w:t>e la migration des espèces jusqu’à la sédimentation accrue du fait de la modification du courant</w:t>
      </w:r>
      <w:r>
        <w:rPr>
          <w:color w:val="FF0000"/>
        </w:rPr>
        <w:t> </w:t>
      </w:r>
      <w:r>
        <w:t>;</w:t>
      </w:r>
    </w:p>
    <w:p w:rsidR="000A2010" w:rsidRDefault="007F04D6" w:rsidP="000A2010">
      <w:pPr>
        <w:pStyle w:val="Paragraphedeliste"/>
        <w:numPr>
          <w:ilvl w:val="1"/>
          <w:numId w:val="8"/>
        </w:numPr>
      </w:pPr>
      <w:r>
        <w:t>M</w:t>
      </w:r>
      <w:r w:rsidR="000A2010">
        <w:t xml:space="preserve">odification du régime du fleuve (problématiques pour l’agriculture dépendant éventuellement de crus et décrus, + tensions géopolitiques si </w:t>
      </w:r>
      <w:r w:rsidR="00654C04">
        <w:t>fleuve de part et d’autre de la frontière</w:t>
      </w:r>
      <w:r w:rsidRPr="007F04D6">
        <w:t xml:space="preserve"> </w:t>
      </w:r>
      <w:r>
        <w:t xml:space="preserve">comme c’est le cas pour </w:t>
      </w:r>
      <w:r w:rsidRPr="007F04D6">
        <w:rPr>
          <w:color w:val="FF0000"/>
        </w:rPr>
        <w:t>le Mékong et fleuve Sénégal : des exemples de fleuves qui passent dans plusieurs pays, ils font l’objet de consortium pour être gérés de la meilleure des façons possibles</w:t>
      </w:r>
      <w:r w:rsidR="000A2010">
        <w:t>) ;</w:t>
      </w:r>
    </w:p>
    <w:p w:rsidR="000A2010" w:rsidRDefault="007F04D6" w:rsidP="000A2010">
      <w:pPr>
        <w:pStyle w:val="Paragraphedeliste"/>
        <w:numPr>
          <w:ilvl w:val="1"/>
          <w:numId w:val="8"/>
        </w:numPr>
      </w:pPr>
      <w:r>
        <w:t>S</w:t>
      </w:r>
      <w:r w:rsidR="000A2010">
        <w:t>acrifice de terres agricoles, et déplacements de personnes</w:t>
      </w:r>
      <w:r w:rsidR="00F41F84">
        <w:t xml:space="preserve"> (</w:t>
      </w:r>
      <w:r w:rsidR="00F41F84" w:rsidRPr="007F04D6">
        <w:rPr>
          <w:color w:val="FF0000"/>
        </w:rPr>
        <w:t>1.8 millions</w:t>
      </w:r>
      <w:r w:rsidRPr="007F04D6">
        <w:rPr>
          <w:color w:val="FF0000"/>
        </w:rPr>
        <w:t xml:space="preserve"> personnes déplacées</w:t>
      </w:r>
      <w:r w:rsidR="00F41F84" w:rsidRPr="007F04D6">
        <w:rPr>
          <w:color w:val="FF0000"/>
        </w:rPr>
        <w:t xml:space="preserve"> sans l’aide de l’Etat pour les 3 Gorges</w:t>
      </w:r>
      <w:r w:rsidR="00F41F84">
        <w:t>)</w:t>
      </w:r>
      <w:r w:rsidR="000A2010">
        <w:t xml:space="preserve">, cf. </w:t>
      </w:r>
      <w:r>
        <w:t xml:space="preserve">le combat de </w:t>
      </w:r>
      <w:proofErr w:type="spellStart"/>
      <w:r w:rsidR="000A2010">
        <w:t>Raoni</w:t>
      </w:r>
      <w:proofErr w:type="spellEnd"/>
      <w:r>
        <w:t>, l’Indien d’Amazonie</w:t>
      </w:r>
      <w:r w:rsidR="000A2010">
        <w:t xml:space="preserve"> avec son disque dans la bouche ;</w:t>
      </w:r>
    </w:p>
    <w:p w:rsidR="000A2010" w:rsidRDefault="000A2010" w:rsidP="000A2010">
      <w:pPr>
        <w:pStyle w:val="Paragraphedeliste"/>
        <w:numPr>
          <w:ilvl w:val="1"/>
          <w:numId w:val="8"/>
        </w:numPr>
      </w:pPr>
      <w:r>
        <w:lastRenderedPageBreak/>
        <w:t>Risques industriels</w:t>
      </w:r>
      <w:r w:rsidR="007F04D6">
        <w:t xml:space="preserve"> accrus par le vieillissement,</w:t>
      </w:r>
      <w:r>
        <w:t xml:space="preserve"> de type glissements de terrains, séismes qui dans un cas en Chine aurait même été amplifié par l’appui de la masse d’eau sur la faille (</w:t>
      </w:r>
      <w:r w:rsidR="007F04D6" w:rsidRPr="007F04D6">
        <w:rPr>
          <w:color w:val="FF0000"/>
        </w:rPr>
        <w:t>des estimations de</w:t>
      </w:r>
      <w:r w:rsidR="007F04D6">
        <w:t xml:space="preserve"> </w:t>
      </w:r>
      <w:r w:rsidR="007F04D6">
        <w:rPr>
          <w:color w:val="FF0000"/>
        </w:rPr>
        <w:t>30 à 80</w:t>
      </w:r>
      <w:r w:rsidRPr="007F04D6">
        <w:rPr>
          <w:color w:val="FF0000"/>
        </w:rPr>
        <w:t xml:space="preserve"> 000 morts</w:t>
      </w:r>
      <w:r w:rsidR="007F04D6">
        <w:rPr>
          <w:color w:val="FF0000"/>
        </w:rPr>
        <w:t xml:space="preserve"> lors du séisme</w:t>
      </w:r>
      <w:r w:rsidRPr="007F04D6">
        <w:rPr>
          <w:color w:val="FF0000"/>
        </w:rPr>
        <w:t xml:space="preserve"> à </w:t>
      </w:r>
      <w:proofErr w:type="spellStart"/>
      <w:r w:rsidR="007F04D6" w:rsidRPr="007F04D6">
        <w:rPr>
          <w:color w:val="FF0000"/>
        </w:rPr>
        <w:t>Zipingpu</w:t>
      </w:r>
      <w:proofErr w:type="spellEnd"/>
      <w:r w:rsidR="007F04D6" w:rsidRPr="007F04D6">
        <w:rPr>
          <w:color w:val="FF0000"/>
        </w:rPr>
        <w:t xml:space="preserve"> en Chine</w:t>
      </w:r>
      <w:r>
        <w:t>) ;</w:t>
      </w:r>
    </w:p>
    <w:p w:rsidR="000A2010" w:rsidRDefault="000A2010" w:rsidP="000A2010">
      <w:pPr>
        <w:pStyle w:val="Paragraphedeliste"/>
        <w:numPr>
          <w:ilvl w:val="1"/>
          <w:numId w:val="8"/>
        </w:numPr>
      </w:pPr>
      <w:proofErr w:type="spellStart"/>
      <w:r w:rsidRPr="007F04D6">
        <w:rPr>
          <w:color w:val="FF0000"/>
        </w:rPr>
        <w:t>Malpasset</w:t>
      </w:r>
      <w:proofErr w:type="spellEnd"/>
      <w:r w:rsidRPr="007F04D6">
        <w:rPr>
          <w:color w:val="FF0000"/>
        </w:rPr>
        <w:t xml:space="preserve"> dans le Var </w:t>
      </w:r>
      <w:r w:rsidR="007F04D6" w:rsidRPr="007F04D6">
        <w:rPr>
          <w:color w:val="FF0000"/>
        </w:rPr>
        <w:t>en 1959, 423 morts et disparus</w:t>
      </w:r>
      <w:r w:rsidR="007F04D6">
        <w:t>.</w:t>
      </w:r>
    </w:p>
    <w:p w:rsidR="007F04D6" w:rsidRDefault="007F04D6" w:rsidP="00D10489">
      <w:pPr>
        <w:pStyle w:val="Paragraphedeliste"/>
        <w:numPr>
          <w:ilvl w:val="0"/>
          <w:numId w:val="8"/>
        </w:numPr>
      </w:pPr>
      <w:r>
        <w:t xml:space="preserve">Impact changements climatiques : des modifications des précipitations qui pourraient mener à </w:t>
      </w:r>
      <w:r w:rsidR="001C7238">
        <w:t>une modification de l’énergie délivrée ;</w:t>
      </w:r>
    </w:p>
    <w:p w:rsidR="00A16042" w:rsidRPr="001C7238" w:rsidRDefault="001C7238" w:rsidP="00D10489">
      <w:pPr>
        <w:pStyle w:val="Paragraphedeliste"/>
        <w:numPr>
          <w:ilvl w:val="0"/>
          <w:numId w:val="8"/>
        </w:numPr>
        <w:rPr>
          <w:color w:val="FF0000"/>
        </w:rPr>
      </w:pPr>
      <w:r w:rsidRPr="001C7238">
        <w:rPr>
          <w:color w:val="FF0000"/>
        </w:rPr>
        <w:t xml:space="preserve">Statistiques France : </w:t>
      </w:r>
    </w:p>
    <w:p w:rsidR="00A16042" w:rsidRDefault="001C7238" w:rsidP="001C7238">
      <w:pPr>
        <w:pStyle w:val="Paragraphedeliste"/>
        <w:numPr>
          <w:ilvl w:val="1"/>
          <w:numId w:val="8"/>
        </w:numPr>
      </w:pPr>
      <w:r w:rsidRPr="001C7238">
        <w:t>4% de l’énergie primaire,</w:t>
      </w:r>
      <w:r w:rsidRPr="001C7238">
        <w:rPr>
          <w:color w:val="FF0000"/>
        </w:rPr>
        <w:t xml:space="preserve"> </w:t>
      </w:r>
      <w:r w:rsidR="00A16042" w:rsidRPr="001C7238">
        <w:rPr>
          <w:color w:val="FF0000"/>
        </w:rPr>
        <w:t>12% de la production électricité, 80% de l’</w:t>
      </w:r>
      <w:r w:rsidRPr="001C7238">
        <w:rPr>
          <w:color w:val="FF0000"/>
        </w:rPr>
        <w:t xml:space="preserve">électricité d’origine </w:t>
      </w:r>
      <w:proofErr w:type="spellStart"/>
      <w:r w:rsidR="00A16042" w:rsidRPr="001C7238">
        <w:rPr>
          <w:color w:val="FF0000"/>
        </w:rPr>
        <w:t>EnR</w:t>
      </w:r>
      <w:proofErr w:type="spellEnd"/>
      <w:r w:rsidR="00A16042">
        <w:t> ;</w:t>
      </w:r>
    </w:p>
    <w:p w:rsidR="00D10489" w:rsidRDefault="001C7238" w:rsidP="001C7238">
      <w:pPr>
        <w:pStyle w:val="Paragraphedeliste"/>
        <w:numPr>
          <w:ilvl w:val="1"/>
          <w:numId w:val="8"/>
        </w:numPr>
      </w:pPr>
      <w:r>
        <w:t xml:space="preserve">Environ </w:t>
      </w:r>
      <w:r w:rsidRPr="001C7238">
        <w:rPr>
          <w:color w:val="FF0000"/>
        </w:rPr>
        <w:t>25</w:t>
      </w:r>
      <w:r w:rsidR="00A16042" w:rsidRPr="001C7238">
        <w:rPr>
          <w:color w:val="FF0000"/>
        </w:rPr>
        <w:t xml:space="preserve"> G</w:t>
      </w:r>
      <w:r w:rsidRPr="001C7238">
        <w:rPr>
          <w:color w:val="FF0000"/>
        </w:rPr>
        <w:t>W</w:t>
      </w:r>
      <w:r w:rsidR="00A16042" w:rsidRPr="001C7238">
        <w:rPr>
          <w:color w:val="FF0000"/>
        </w:rPr>
        <w:t xml:space="preserve"> de capacités, soit 20% des capacités</w:t>
      </w:r>
      <w:r>
        <w:rPr>
          <w:color w:val="FF0000"/>
        </w:rPr>
        <w:t xml:space="preserve"> électriques</w:t>
      </w:r>
      <w:r>
        <w:t xml:space="preserve"> ; les capacités sont à peu près </w:t>
      </w:r>
      <w:r w:rsidRPr="001C7238">
        <w:rPr>
          <w:color w:val="FF0000"/>
        </w:rPr>
        <w:t>équitablement réparties</w:t>
      </w:r>
      <w:r>
        <w:t xml:space="preserve"> entre centrales de lac, fil de l’eau, d’éclusées et </w:t>
      </w:r>
      <w:proofErr w:type="spellStart"/>
      <w:r>
        <w:t>step</w:t>
      </w:r>
      <w:proofErr w:type="spellEnd"/>
      <w:r>
        <w:t xml:space="preserve"> (respectivement 31, 33, 16 et </w:t>
      </w:r>
      <w:r w:rsidR="00F1389B">
        <w:t>20</w:t>
      </w:r>
      <w:r>
        <w:t xml:space="preserve">%) </w:t>
      </w:r>
      <w:r w:rsidR="00F1389B">
        <w:t>;</w:t>
      </w:r>
    </w:p>
    <w:p w:rsidR="00F1389B" w:rsidRDefault="00F1389B" w:rsidP="001C7238">
      <w:pPr>
        <w:pStyle w:val="Paragraphedeliste"/>
        <w:numPr>
          <w:ilvl w:val="1"/>
          <w:numId w:val="8"/>
        </w:numPr>
      </w:pPr>
      <w:r>
        <w:t>Dynamique : le fil de l’eau fait la base avec le nucléaire, le</w:t>
      </w:r>
      <w:r w:rsidR="001C7238">
        <w:t>s centrales</w:t>
      </w:r>
      <w:r>
        <w:t xml:space="preserve"> de lac </w:t>
      </w:r>
      <w:r w:rsidR="001C7238">
        <w:t xml:space="preserve">font </w:t>
      </w:r>
      <w:r>
        <w:t>la pointe</w:t>
      </w:r>
      <w:r w:rsidR="001C7238">
        <w:t xml:space="preserve"> voire l’</w:t>
      </w:r>
      <w:proofErr w:type="spellStart"/>
      <w:r w:rsidR="001C7238">
        <w:t>hyperpointe</w:t>
      </w:r>
      <w:proofErr w:type="spellEnd"/>
      <w:r>
        <w:t xml:space="preserve">, </w:t>
      </w:r>
      <w:r w:rsidR="001C7238">
        <w:t xml:space="preserve">comme les </w:t>
      </w:r>
      <w:proofErr w:type="spellStart"/>
      <w:r>
        <w:t>step</w:t>
      </w:r>
      <w:proofErr w:type="spellEnd"/>
      <w:r>
        <w:t xml:space="preserve"> </w:t>
      </w:r>
      <w:r w:rsidR="001C7238">
        <w:t xml:space="preserve">mais celles-ci </w:t>
      </w:r>
      <w:r>
        <w:t xml:space="preserve">en plus engrange </w:t>
      </w:r>
      <w:r w:rsidR="001C7238">
        <w:t xml:space="preserve">de l’énergie </w:t>
      </w:r>
      <w:r>
        <w:t>en heures creuses</w:t>
      </w:r>
      <w:r w:rsidR="001C7238">
        <w:t> ;</w:t>
      </w:r>
    </w:p>
    <w:p w:rsidR="001C7238" w:rsidRDefault="001C7238" w:rsidP="001C7238"/>
    <w:p w:rsidR="001C7238" w:rsidRDefault="001C7238" w:rsidP="001C7238">
      <w:pPr>
        <w:jc w:val="center"/>
      </w:pPr>
      <w:r w:rsidRPr="001C7238">
        <w:rPr>
          <w:noProof/>
          <w:lang w:eastAsia="fr-FR"/>
        </w:rPr>
        <w:drawing>
          <wp:inline distT="0" distB="0" distL="0" distR="0">
            <wp:extent cx="3096342" cy="3252159"/>
            <wp:effectExtent l="19050" t="0" r="8808" b="0"/>
            <wp:docPr id="1" name="Image 1"/>
            <wp:cNvGraphicFramePr/>
            <a:graphic xmlns:a="http://schemas.openxmlformats.org/drawingml/2006/main">
              <a:graphicData uri="http://schemas.openxmlformats.org/drawingml/2006/picture">
                <pic:pic xmlns:pic="http://schemas.openxmlformats.org/drawingml/2006/picture">
                  <pic:nvPicPr>
                    <pic:cNvPr id="33798" name="Image 1"/>
                    <pic:cNvPicPr>
                      <a:picLocks noChangeAspect="1" noChangeArrowheads="1"/>
                    </pic:cNvPicPr>
                  </pic:nvPicPr>
                  <pic:blipFill>
                    <a:blip r:embed="rId8" cstate="print"/>
                    <a:srcRect l="37029" t="19560" r="19341" b="4350"/>
                    <a:stretch>
                      <a:fillRect/>
                    </a:stretch>
                  </pic:blipFill>
                  <pic:spPr bwMode="auto">
                    <a:xfrm>
                      <a:off x="0" y="0"/>
                      <a:ext cx="3093953" cy="3249650"/>
                    </a:xfrm>
                    <a:prstGeom prst="rect">
                      <a:avLst/>
                    </a:prstGeom>
                    <a:noFill/>
                    <a:ln w="9525">
                      <a:noFill/>
                      <a:miter lim="800000"/>
                      <a:headEnd/>
                      <a:tailEnd/>
                    </a:ln>
                  </pic:spPr>
                </pic:pic>
              </a:graphicData>
            </a:graphic>
          </wp:inline>
        </w:drawing>
      </w:r>
    </w:p>
    <w:p w:rsidR="001C7238" w:rsidRDefault="001C7238" w:rsidP="001C7238"/>
    <w:p w:rsidR="00F1389B" w:rsidRDefault="001C7238" w:rsidP="001C7238">
      <w:pPr>
        <w:pStyle w:val="Paragraphedeliste"/>
        <w:numPr>
          <w:ilvl w:val="1"/>
          <w:numId w:val="8"/>
        </w:numPr>
      </w:pPr>
      <w:r w:rsidRPr="001C7238">
        <w:rPr>
          <w:color w:val="FF0000"/>
        </w:rPr>
        <w:t>Un</w:t>
      </w:r>
      <w:r>
        <w:rPr>
          <w:color w:val="FF0000"/>
        </w:rPr>
        <w:t>e</w:t>
      </w:r>
      <w:r w:rsidRPr="001C7238">
        <w:rPr>
          <w:color w:val="FF0000"/>
        </w:rPr>
        <w:t xml:space="preserve"> production de </w:t>
      </w:r>
      <w:r w:rsidR="00F1389B" w:rsidRPr="001C7238">
        <w:rPr>
          <w:color w:val="FF0000"/>
        </w:rPr>
        <w:t xml:space="preserve">60-65 </w:t>
      </w:r>
      <w:r w:rsidRPr="001C7238">
        <w:rPr>
          <w:color w:val="FF0000"/>
        </w:rPr>
        <w:t>TWh</w:t>
      </w:r>
      <w:r w:rsidR="00F1389B">
        <w:t>, sauf 2011 car année très sèche</w:t>
      </w:r>
      <w:r w:rsidR="00630266">
        <w:t> ;</w:t>
      </w:r>
    </w:p>
    <w:p w:rsidR="00630266" w:rsidRDefault="00630266" w:rsidP="001C7238">
      <w:pPr>
        <w:pStyle w:val="Paragraphedeliste"/>
        <w:numPr>
          <w:ilvl w:val="1"/>
          <w:numId w:val="8"/>
        </w:numPr>
      </w:pPr>
      <w:r>
        <w:rPr>
          <w:color w:val="FF0000"/>
        </w:rPr>
        <w:t>Un parc qui vieillit : une grande partie au-dessus de 50 ans, il va falloir prévoir des investissements de maintenance.</w:t>
      </w:r>
    </w:p>
    <w:p w:rsidR="001C7238" w:rsidRPr="001C7238" w:rsidRDefault="001C7238" w:rsidP="001C7238">
      <w:pPr>
        <w:pStyle w:val="Paragraphedeliste"/>
        <w:numPr>
          <w:ilvl w:val="0"/>
          <w:numId w:val="8"/>
        </w:numPr>
        <w:rPr>
          <w:color w:val="FF0000"/>
        </w:rPr>
      </w:pPr>
      <w:r>
        <w:t>Statistiques Europe :</w:t>
      </w:r>
    </w:p>
    <w:p w:rsidR="00A16042" w:rsidRPr="001C7238" w:rsidRDefault="001C7238" w:rsidP="001C7238">
      <w:pPr>
        <w:pStyle w:val="Paragraphedeliste"/>
        <w:numPr>
          <w:ilvl w:val="1"/>
          <w:numId w:val="8"/>
        </w:numPr>
        <w:rPr>
          <w:color w:val="FF0000"/>
        </w:rPr>
      </w:pPr>
      <w:r>
        <w:t xml:space="preserve">Les gros joueurs sont la </w:t>
      </w:r>
      <w:r w:rsidRPr="001C7238">
        <w:t xml:space="preserve">Norvège et </w:t>
      </w:r>
      <w:r>
        <w:t xml:space="preserve">la </w:t>
      </w:r>
      <w:r w:rsidRPr="001C7238">
        <w:t>Suisse</w:t>
      </w:r>
      <w:r>
        <w:t xml:space="preserve"> avec respectivement </w:t>
      </w:r>
      <w:r w:rsidR="00ED40CB">
        <w:t>96</w:t>
      </w:r>
      <w:r>
        <w:t xml:space="preserve">% et 55% de leur mix électrique en </w:t>
      </w:r>
      <w:r w:rsidR="00ED40CB">
        <w:t xml:space="preserve">hydroélectricité, </w:t>
      </w:r>
      <w:r>
        <w:t xml:space="preserve">contre </w:t>
      </w:r>
      <w:r w:rsidR="00ED40CB" w:rsidRPr="001C7238">
        <w:rPr>
          <w:color w:val="FF0000"/>
        </w:rPr>
        <w:t>11% en moyenne Europe</w:t>
      </w:r>
      <w:r w:rsidR="00ED40CB">
        <w:t> ;</w:t>
      </w:r>
      <w:r>
        <w:t xml:space="preserve"> </w:t>
      </w:r>
      <w:r w:rsidRPr="001C7238">
        <w:rPr>
          <w:color w:val="FF0000"/>
        </w:rPr>
        <w:t>la Norvège, avec près de 130 TWh en hydroélectrique est quasiment full-hydro !</w:t>
      </w:r>
    </w:p>
    <w:p w:rsidR="00ED40CB" w:rsidRDefault="004D547D" w:rsidP="001C7238">
      <w:pPr>
        <w:pStyle w:val="Paragraphedeliste"/>
        <w:numPr>
          <w:ilvl w:val="1"/>
          <w:numId w:val="8"/>
        </w:numPr>
      </w:pPr>
      <w:r>
        <w:t xml:space="preserve">Constructions : </w:t>
      </w:r>
      <w:r w:rsidRPr="001C7238">
        <w:rPr>
          <w:color w:val="FF0000"/>
        </w:rPr>
        <w:t>100</w:t>
      </w:r>
      <w:r w:rsidR="00C72D28" w:rsidRPr="001C7238">
        <w:rPr>
          <w:color w:val="FF0000"/>
        </w:rPr>
        <w:t xml:space="preserve"> </w:t>
      </w:r>
      <w:r w:rsidRPr="001C7238">
        <w:rPr>
          <w:color w:val="FF0000"/>
        </w:rPr>
        <w:t>ans de durée de vie</w:t>
      </w:r>
      <w:r>
        <w:t xml:space="preserve">, pic des </w:t>
      </w:r>
      <w:r w:rsidR="00C72D28">
        <w:t>constructions</w:t>
      </w:r>
      <w:r w:rsidR="001C7238">
        <w:t xml:space="preserve"> passée en Europe dans les 60s.</w:t>
      </w:r>
    </w:p>
    <w:p w:rsidR="004D547D" w:rsidRDefault="001C7238" w:rsidP="004D547D">
      <w:pPr>
        <w:pStyle w:val="Paragraphedeliste"/>
        <w:numPr>
          <w:ilvl w:val="0"/>
          <w:numId w:val="8"/>
        </w:numPr>
      </w:pPr>
      <w:r>
        <w:t xml:space="preserve">Statistiques </w:t>
      </w:r>
      <w:r w:rsidR="00C72D28">
        <w:t>Monde, 2010 :</w:t>
      </w:r>
    </w:p>
    <w:p w:rsidR="00C72D28" w:rsidRDefault="00C72D28" w:rsidP="00C72D28">
      <w:pPr>
        <w:pStyle w:val="Paragraphedeliste"/>
        <w:numPr>
          <w:ilvl w:val="1"/>
          <w:numId w:val="8"/>
        </w:numPr>
      </w:pPr>
      <w:r w:rsidRPr="001C7238">
        <w:rPr>
          <w:color w:val="FF0000"/>
        </w:rPr>
        <w:t xml:space="preserve">Environ 1 000 </w:t>
      </w:r>
      <w:r w:rsidR="001C7238" w:rsidRPr="001C7238">
        <w:rPr>
          <w:color w:val="FF0000"/>
        </w:rPr>
        <w:t>GW</w:t>
      </w:r>
      <w:r w:rsidRPr="001C7238">
        <w:rPr>
          <w:color w:val="FF0000"/>
        </w:rPr>
        <w:t> </w:t>
      </w:r>
      <w:r w:rsidR="001C7238" w:rsidRPr="001C7238">
        <w:rPr>
          <w:color w:val="FF0000"/>
        </w:rPr>
        <w:t>installées avec les gros joueurs comme Chine (</w:t>
      </w:r>
      <w:r w:rsidRPr="001C7238">
        <w:rPr>
          <w:color w:val="FF0000"/>
        </w:rPr>
        <w:t>170</w:t>
      </w:r>
      <w:r w:rsidR="001C7238" w:rsidRPr="001C7238">
        <w:rPr>
          <w:color w:val="FF0000"/>
        </w:rPr>
        <w:t>)</w:t>
      </w:r>
      <w:r w:rsidRPr="001C7238">
        <w:rPr>
          <w:color w:val="FF0000"/>
        </w:rPr>
        <w:t>, EU</w:t>
      </w:r>
      <w:r w:rsidR="001C7238" w:rsidRPr="001C7238">
        <w:rPr>
          <w:color w:val="FF0000"/>
        </w:rPr>
        <w:t xml:space="preserve"> (100), </w:t>
      </w:r>
      <w:r w:rsidRPr="001C7238">
        <w:rPr>
          <w:color w:val="FF0000"/>
        </w:rPr>
        <w:t xml:space="preserve">Brésil </w:t>
      </w:r>
      <w:r w:rsidR="001C7238" w:rsidRPr="001C7238">
        <w:rPr>
          <w:color w:val="FF0000"/>
        </w:rPr>
        <w:t>(80) et Canada (70)</w:t>
      </w:r>
      <w:r w:rsidR="001C7238">
        <w:t xml:space="preserve"> </w:t>
      </w:r>
      <w:r>
        <w:t>;</w:t>
      </w:r>
    </w:p>
    <w:p w:rsidR="00C72D28" w:rsidRPr="001C7238" w:rsidRDefault="00C72D28" w:rsidP="00C72D28">
      <w:pPr>
        <w:pStyle w:val="Paragraphedeliste"/>
        <w:numPr>
          <w:ilvl w:val="1"/>
          <w:numId w:val="8"/>
        </w:numPr>
        <w:rPr>
          <w:color w:val="FF0000"/>
        </w:rPr>
      </w:pPr>
      <w:r w:rsidRPr="001C7238">
        <w:rPr>
          <w:color w:val="FF0000"/>
        </w:rPr>
        <w:t>Plus de 3 500 T</w:t>
      </w:r>
      <w:r w:rsidR="001C7238" w:rsidRPr="001C7238">
        <w:rPr>
          <w:color w:val="FF0000"/>
        </w:rPr>
        <w:t>W</w:t>
      </w:r>
      <w:r w:rsidRPr="001C7238">
        <w:rPr>
          <w:color w:val="FF0000"/>
        </w:rPr>
        <w:t>h par an, 700 T</w:t>
      </w:r>
      <w:r w:rsidR="001C7238" w:rsidRPr="001C7238">
        <w:rPr>
          <w:color w:val="FF0000"/>
        </w:rPr>
        <w:t>W</w:t>
      </w:r>
      <w:r w:rsidRPr="001C7238">
        <w:rPr>
          <w:color w:val="FF0000"/>
        </w:rPr>
        <w:t>h rien qu’en Chine, plus qu’en France toutes sources confondues donc !</w:t>
      </w:r>
    </w:p>
    <w:p w:rsidR="00C975E6" w:rsidRDefault="001C7238" w:rsidP="00C975E6">
      <w:pPr>
        <w:pStyle w:val="Paragraphedeliste"/>
        <w:numPr>
          <w:ilvl w:val="1"/>
          <w:numId w:val="8"/>
        </w:numPr>
      </w:pPr>
      <w:r>
        <w:lastRenderedPageBreak/>
        <w:t xml:space="preserve">En parts relatives, la Norvège reste le premier pays, les suivants étant Brésil, </w:t>
      </w:r>
      <w:proofErr w:type="spellStart"/>
      <w:r w:rsidR="00C975E6">
        <w:t>Vénézuela</w:t>
      </w:r>
      <w:proofErr w:type="spellEnd"/>
      <w:r w:rsidR="00C975E6">
        <w:t xml:space="preserve"> </w:t>
      </w:r>
      <w:r>
        <w:t>et Canada avec respectivement 80, 65 et 60% e</w:t>
      </w:r>
      <w:r w:rsidR="00C975E6">
        <w:t>t moi</w:t>
      </w:r>
      <w:r>
        <w:t>ns de 20% pour la Chine.</w:t>
      </w:r>
    </w:p>
    <w:p w:rsidR="00395164" w:rsidRDefault="00395164" w:rsidP="00395164">
      <w:pPr>
        <w:pStyle w:val="Paragraphedeliste"/>
        <w:numPr>
          <w:ilvl w:val="0"/>
          <w:numId w:val="8"/>
        </w:numPr>
      </w:pPr>
      <w:r w:rsidRPr="0047199B">
        <w:rPr>
          <w:color w:val="FF0000"/>
        </w:rPr>
        <w:t>Potentiel</w:t>
      </w:r>
      <w:r w:rsidR="00441C73" w:rsidRPr="0047199B">
        <w:rPr>
          <w:color w:val="FF0000"/>
        </w:rPr>
        <w:t xml:space="preserve"> France</w:t>
      </w:r>
      <w:r w:rsidRPr="0047199B">
        <w:rPr>
          <w:color w:val="FF0000"/>
        </w:rPr>
        <w:t> :</w:t>
      </w:r>
      <w:r w:rsidR="004B2F84" w:rsidRPr="0047199B">
        <w:rPr>
          <w:color w:val="FF0000"/>
        </w:rPr>
        <w:t xml:space="preserve"> de l’ordre de 10 à 30 </w:t>
      </w:r>
      <w:r w:rsidR="0047199B" w:rsidRPr="0047199B">
        <w:rPr>
          <w:color w:val="FF0000"/>
        </w:rPr>
        <w:t>TW</w:t>
      </w:r>
      <w:r w:rsidR="0047199B">
        <w:rPr>
          <w:color w:val="FF0000"/>
        </w:rPr>
        <w:t>h</w:t>
      </w:r>
      <w:r w:rsidR="004B2F84">
        <w:t xml:space="preserve">, potentiels différents selon les </w:t>
      </w:r>
      <w:r w:rsidR="0047199B">
        <w:t xml:space="preserve">études : </w:t>
      </w:r>
    </w:p>
    <w:p w:rsidR="00395164" w:rsidRDefault="004B2F84" w:rsidP="00395164">
      <w:pPr>
        <w:pStyle w:val="Paragraphedeliste"/>
        <w:numPr>
          <w:ilvl w:val="1"/>
          <w:numId w:val="8"/>
        </w:numPr>
      </w:pPr>
      <w:r>
        <w:t xml:space="preserve">Rapport </w:t>
      </w:r>
      <w:proofErr w:type="spellStart"/>
      <w:r>
        <w:t>Dambrine</w:t>
      </w:r>
      <w:proofErr w:type="spellEnd"/>
      <w:r>
        <w:t xml:space="preserve"> en 2006 :</w:t>
      </w:r>
      <w:r w:rsidR="00395164">
        <w:t xml:space="preserve"> moins de 30 T</w:t>
      </w:r>
      <w:r>
        <w:t>W</w:t>
      </w:r>
      <w:r w:rsidR="00395164">
        <w:t>h ;</w:t>
      </w:r>
    </w:p>
    <w:p w:rsidR="00395164" w:rsidRDefault="00395164" w:rsidP="00395164">
      <w:pPr>
        <w:pStyle w:val="Paragraphedeliste"/>
        <w:numPr>
          <w:ilvl w:val="1"/>
          <w:numId w:val="8"/>
        </w:numPr>
      </w:pPr>
      <w:r>
        <w:t xml:space="preserve">Un autre en 2008 : 50 </w:t>
      </w:r>
      <w:r w:rsidR="0047199B">
        <w:t>TWh en « technique » (sans les contraintes environnementales)</w:t>
      </w:r>
      <w:r>
        <w:t> ;</w:t>
      </w:r>
    </w:p>
    <w:p w:rsidR="00C72D28" w:rsidRDefault="00395164" w:rsidP="00395164">
      <w:pPr>
        <w:pStyle w:val="Paragraphedeliste"/>
        <w:numPr>
          <w:ilvl w:val="1"/>
          <w:numId w:val="8"/>
        </w:numPr>
      </w:pPr>
      <w:r>
        <w:t xml:space="preserve">UFE, 2011 : 10.6 </w:t>
      </w:r>
      <w:r w:rsidR="0047199B">
        <w:t>TWh</w:t>
      </w:r>
      <w:r>
        <w:t>, à la fois pour nouveaux ouvrages et nouveaux équipements </w:t>
      </w:r>
      <w:r w:rsidR="0047199B">
        <w:t xml:space="preserve">(90-10% respectivement) </w:t>
      </w:r>
      <w:r>
        <w:t xml:space="preserve">: attention à </w:t>
      </w:r>
      <w:r w:rsidRPr="0047199B">
        <w:rPr>
          <w:color w:val="FF0000"/>
        </w:rPr>
        <w:t>des contraintes environnementales qui grèvent le potentiel, voire réduisent la production d’ouvrages existants</w:t>
      </w:r>
      <w:r w:rsidR="0047199B">
        <w:t>, c’est le résultat d’une mise à jour de l’étude en 2012</w:t>
      </w:r>
      <w:r>
        <w:t> ;</w:t>
      </w:r>
    </w:p>
    <w:p w:rsidR="005331C8" w:rsidRPr="005331C8" w:rsidRDefault="005331C8" w:rsidP="00395164">
      <w:pPr>
        <w:pStyle w:val="Paragraphedeliste"/>
        <w:numPr>
          <w:ilvl w:val="1"/>
          <w:numId w:val="8"/>
        </w:numPr>
        <w:rPr>
          <w:color w:val="FF0000"/>
        </w:rPr>
      </w:pPr>
      <w:r>
        <w:t>Cela se concrétise par la formulation des o</w:t>
      </w:r>
      <w:r w:rsidRPr="005331C8">
        <w:t>bjectif</w:t>
      </w:r>
      <w:r>
        <w:t>s</w:t>
      </w:r>
      <w:r w:rsidRPr="005331C8">
        <w:t xml:space="preserve"> 2020 du Grenelle de l'Environnement et de la </w:t>
      </w:r>
      <w:r w:rsidRPr="005331C8">
        <w:rPr>
          <w:color w:val="FF0000"/>
        </w:rPr>
        <w:t>Programmation Pluriannuelle des Investissements :</w:t>
      </w:r>
    </w:p>
    <w:p w:rsidR="000422E2" w:rsidRPr="005331C8" w:rsidRDefault="005331C8" w:rsidP="005331C8">
      <w:pPr>
        <w:pStyle w:val="Paragraphedeliste"/>
        <w:numPr>
          <w:ilvl w:val="2"/>
          <w:numId w:val="8"/>
        </w:numPr>
        <w:rPr>
          <w:color w:val="FF0000"/>
        </w:rPr>
      </w:pPr>
      <w:r>
        <w:rPr>
          <w:color w:val="FF0000"/>
        </w:rPr>
        <w:t>A</w:t>
      </w:r>
      <w:r w:rsidR="00A924E1" w:rsidRPr="005331C8">
        <w:rPr>
          <w:color w:val="FF0000"/>
        </w:rPr>
        <w:t>ugmentation de la</w:t>
      </w:r>
      <w:r w:rsidRPr="005331C8">
        <w:rPr>
          <w:color w:val="FF0000"/>
        </w:rPr>
        <w:t xml:space="preserve"> puissance de pointe de 3 GW ;</w:t>
      </w:r>
    </w:p>
    <w:p w:rsidR="000422E2" w:rsidRPr="005331C8" w:rsidRDefault="005331C8" w:rsidP="005331C8">
      <w:pPr>
        <w:pStyle w:val="Paragraphedeliste"/>
        <w:numPr>
          <w:ilvl w:val="2"/>
          <w:numId w:val="8"/>
        </w:numPr>
        <w:rPr>
          <w:color w:val="FF0000"/>
        </w:rPr>
      </w:pPr>
      <w:r>
        <w:rPr>
          <w:color w:val="FF0000"/>
        </w:rPr>
        <w:t>P</w:t>
      </w:r>
      <w:r w:rsidR="00A924E1" w:rsidRPr="005331C8">
        <w:rPr>
          <w:color w:val="FF0000"/>
        </w:rPr>
        <w:t>roduction supplémentaire de 3 TWh.</w:t>
      </w:r>
    </w:p>
    <w:p w:rsidR="00441C73" w:rsidRDefault="005331C8" w:rsidP="005331C8">
      <w:pPr>
        <w:pStyle w:val="Paragraphedeliste"/>
        <w:numPr>
          <w:ilvl w:val="1"/>
          <w:numId w:val="8"/>
        </w:numPr>
      </w:pPr>
      <w:r>
        <w:t>Par exemple à Romanche-</w:t>
      </w:r>
      <w:proofErr w:type="spellStart"/>
      <w:r>
        <w:t>Gavet</w:t>
      </w:r>
      <w:proofErr w:type="spellEnd"/>
      <w:r>
        <w:t>, EDF investit à hauteur de 250 M€ pour augmenter de 10 MW la capacité, soit un coût marginal relativement faible, avec TRI de 10 ans pour un MWh à 50€.</w:t>
      </w:r>
    </w:p>
    <w:p w:rsidR="00441C73" w:rsidRPr="005331C8" w:rsidRDefault="00441C73" w:rsidP="005331C8">
      <w:pPr>
        <w:pStyle w:val="Paragraphedeliste"/>
        <w:numPr>
          <w:ilvl w:val="0"/>
          <w:numId w:val="8"/>
        </w:numPr>
        <w:rPr>
          <w:color w:val="FF0000"/>
        </w:rPr>
      </w:pPr>
      <w:r w:rsidRPr="005331C8">
        <w:rPr>
          <w:color w:val="FF0000"/>
        </w:rPr>
        <w:t>Potentiel monde :</w:t>
      </w:r>
      <w:r w:rsidR="005331C8" w:rsidRPr="005331C8">
        <w:rPr>
          <w:color w:val="FF0000"/>
        </w:rPr>
        <w:t xml:space="preserve"> d’après une é</w:t>
      </w:r>
      <w:r w:rsidRPr="005331C8">
        <w:rPr>
          <w:color w:val="FF0000"/>
        </w:rPr>
        <w:t>tude du</w:t>
      </w:r>
      <w:r w:rsidR="005331C8" w:rsidRPr="005331C8">
        <w:rPr>
          <w:color w:val="FF0000"/>
        </w:rPr>
        <w:t xml:space="preserve"> GIEC, il</w:t>
      </w:r>
      <w:r w:rsidRPr="005331C8">
        <w:rPr>
          <w:color w:val="FF0000"/>
        </w:rPr>
        <w:t xml:space="preserve"> semblerait qu’on en est à 25% du « potentiel technique » dans le monde, </w:t>
      </w:r>
      <w:proofErr w:type="spellStart"/>
      <w:r w:rsidRPr="005331C8">
        <w:rPr>
          <w:color w:val="FF0000"/>
        </w:rPr>
        <w:t>càd</w:t>
      </w:r>
      <w:proofErr w:type="spellEnd"/>
      <w:r w:rsidRPr="005331C8">
        <w:rPr>
          <w:color w:val="FF0000"/>
        </w:rPr>
        <w:t xml:space="preserve"> sans prendre en compte les aspects environnementaux ;</w:t>
      </w:r>
      <w:r w:rsidR="005331C8">
        <w:rPr>
          <w:color w:val="FF0000"/>
        </w:rPr>
        <w:t xml:space="preserve"> </w:t>
      </w:r>
      <w:r w:rsidR="005331C8" w:rsidRPr="005331C8">
        <w:t>les gisements sont en Asie principalement ;</w:t>
      </w:r>
    </w:p>
    <w:p w:rsidR="005331C8" w:rsidRDefault="005331C8" w:rsidP="005331C8">
      <w:pPr>
        <w:rPr>
          <w:color w:val="FF0000"/>
        </w:rPr>
      </w:pPr>
    </w:p>
    <w:p w:rsidR="005331C8" w:rsidRDefault="005331C8" w:rsidP="005331C8">
      <w:pPr>
        <w:rPr>
          <w:color w:val="FF0000"/>
        </w:rPr>
      </w:pPr>
      <w:r w:rsidRPr="005331C8">
        <w:rPr>
          <w:noProof/>
          <w:color w:val="FF0000"/>
          <w:lang w:eastAsia="fr-FR"/>
        </w:rPr>
        <w:drawing>
          <wp:inline distT="0" distB="0" distL="0" distR="0">
            <wp:extent cx="5760720" cy="4365555"/>
            <wp:effectExtent l="19050" t="0" r="0" b="0"/>
            <wp:docPr id="2" name="Image 2"/>
            <wp:cNvGraphicFramePr/>
            <a:graphic xmlns:a="http://schemas.openxmlformats.org/drawingml/2006/main">
              <a:graphicData uri="http://schemas.openxmlformats.org/drawingml/2006/picture">
                <pic:pic xmlns:pic="http://schemas.openxmlformats.org/drawingml/2006/picture">
                  <pic:nvPicPr>
                    <pic:cNvPr id="51202" name="Image 13"/>
                    <pic:cNvPicPr>
                      <a:picLocks noChangeAspect="1" noChangeArrowheads="1"/>
                    </pic:cNvPicPr>
                  </pic:nvPicPr>
                  <pic:blipFill>
                    <a:blip r:embed="rId9" cstate="print"/>
                    <a:srcRect l="23470" t="20494" r="21982" b="1859"/>
                    <a:stretch>
                      <a:fillRect/>
                    </a:stretch>
                  </pic:blipFill>
                  <pic:spPr bwMode="auto">
                    <a:xfrm>
                      <a:off x="0" y="0"/>
                      <a:ext cx="5760720" cy="4365555"/>
                    </a:xfrm>
                    <a:prstGeom prst="rect">
                      <a:avLst/>
                    </a:prstGeom>
                    <a:noFill/>
                    <a:ln w="9525">
                      <a:noFill/>
                      <a:miter lim="800000"/>
                      <a:headEnd/>
                      <a:tailEnd/>
                    </a:ln>
                  </pic:spPr>
                </pic:pic>
              </a:graphicData>
            </a:graphic>
          </wp:inline>
        </w:drawing>
      </w:r>
    </w:p>
    <w:p w:rsidR="005331C8" w:rsidRPr="005331C8" w:rsidRDefault="005331C8" w:rsidP="005331C8">
      <w:pPr>
        <w:rPr>
          <w:color w:val="FF0000"/>
        </w:rPr>
      </w:pPr>
    </w:p>
    <w:p w:rsidR="00B03092" w:rsidRDefault="00441C73" w:rsidP="00441C73">
      <w:pPr>
        <w:pStyle w:val="Paragraphedeliste"/>
        <w:numPr>
          <w:ilvl w:val="0"/>
          <w:numId w:val="8"/>
        </w:numPr>
      </w:pPr>
      <w:r>
        <w:t>Coûts :</w:t>
      </w:r>
    </w:p>
    <w:p w:rsidR="005331C8" w:rsidRPr="005331C8" w:rsidRDefault="005331C8" w:rsidP="005331C8">
      <w:pPr>
        <w:pStyle w:val="Paragraphedeliste"/>
        <w:numPr>
          <w:ilvl w:val="1"/>
          <w:numId w:val="8"/>
        </w:numPr>
      </w:pPr>
      <w:r>
        <w:t xml:space="preserve">Des coûts </w:t>
      </w:r>
      <w:r w:rsidRPr="005331C8">
        <w:t xml:space="preserve">de fonctionnement </w:t>
      </w:r>
      <w:r>
        <w:t xml:space="preserve">partout </w:t>
      </w:r>
      <w:r w:rsidRPr="005331C8">
        <w:t>de moins de 100€ pour 1 MWh.</w:t>
      </w:r>
    </w:p>
    <w:p w:rsidR="00441C73" w:rsidRDefault="005331C8" w:rsidP="00B03092">
      <w:pPr>
        <w:pStyle w:val="Paragraphedeliste"/>
        <w:numPr>
          <w:ilvl w:val="1"/>
          <w:numId w:val="8"/>
        </w:numPr>
      </w:pPr>
      <w:r>
        <w:lastRenderedPageBreak/>
        <w:t>R</w:t>
      </w:r>
      <w:r w:rsidR="00C47964">
        <w:t>omanche-</w:t>
      </w:r>
      <w:proofErr w:type="spellStart"/>
      <w:r w:rsidR="00C47964">
        <w:t>Gavet</w:t>
      </w:r>
      <w:proofErr w:type="spellEnd"/>
      <w:r>
        <w:t>, exemple précédent</w:t>
      </w:r>
      <w:r w:rsidR="00C47964">
        <w:t xml:space="preserve"> : 2 700€ le </w:t>
      </w:r>
      <w:r>
        <w:t>kW</w:t>
      </w:r>
      <w:r w:rsidR="00C47964">
        <w:t xml:space="preserve"> installé, 50€ le </w:t>
      </w:r>
      <w:r w:rsidR="00BC5CE0">
        <w:t>MWh</w:t>
      </w:r>
      <w:r w:rsidR="00C47964">
        <w:t>, TRI 10 ans</w:t>
      </w:r>
      <w:r>
        <w:t> ;</w:t>
      </w:r>
    </w:p>
    <w:p w:rsidR="00C47964" w:rsidRDefault="00C47964" w:rsidP="005331C8">
      <w:pPr>
        <w:pStyle w:val="Paragraphedeliste"/>
        <w:numPr>
          <w:ilvl w:val="1"/>
          <w:numId w:val="8"/>
        </w:numPr>
      </w:pPr>
      <w:r>
        <w:t>Bello monte au Bré</w:t>
      </w:r>
      <w:r w:rsidR="00B03092">
        <w:t>s</w:t>
      </w:r>
      <w:r>
        <w:t xml:space="preserve">il, 18.5 </w:t>
      </w:r>
      <w:proofErr w:type="spellStart"/>
      <w:r>
        <w:t>bn</w:t>
      </w:r>
      <w:proofErr w:type="spellEnd"/>
      <w:r>
        <w:t xml:space="preserve"> $, 11.2 </w:t>
      </w:r>
      <w:r w:rsidR="005331C8">
        <w:t>GW</w:t>
      </w:r>
      <w:r>
        <w:t xml:space="preserve">, 1 650 </w:t>
      </w:r>
      <w:r w:rsidR="005331C8">
        <w:t>$/kW ;</w:t>
      </w:r>
      <w:r>
        <w:t xml:space="preserve"> </w:t>
      </w:r>
    </w:p>
    <w:p w:rsidR="005331C8" w:rsidRDefault="00B03092" w:rsidP="00B03092">
      <w:pPr>
        <w:pStyle w:val="Paragraphedeliste"/>
        <w:numPr>
          <w:ilvl w:val="0"/>
          <w:numId w:val="8"/>
        </w:numPr>
      </w:pPr>
      <w:r>
        <w:t xml:space="preserve">Contexte réglementaire en France : </w:t>
      </w:r>
    </w:p>
    <w:p w:rsidR="00630266" w:rsidRDefault="00630266" w:rsidP="005331C8">
      <w:pPr>
        <w:pStyle w:val="Paragraphedeliste"/>
        <w:numPr>
          <w:ilvl w:val="1"/>
          <w:numId w:val="8"/>
        </w:numPr>
      </w:pPr>
      <w:r>
        <w:rPr>
          <w:color w:val="FF0000"/>
        </w:rPr>
        <w:t xml:space="preserve">Avant : </w:t>
      </w:r>
      <w:r w:rsidR="005331C8" w:rsidRPr="00630266">
        <w:rPr>
          <w:color w:val="FF0000"/>
        </w:rPr>
        <w:t>C</w:t>
      </w:r>
      <w:r w:rsidR="00B03092" w:rsidRPr="00630266">
        <w:rPr>
          <w:color w:val="FF0000"/>
        </w:rPr>
        <w:t>oncessions données par l’Etat</w:t>
      </w:r>
      <w:r w:rsidR="005331C8" w:rsidRPr="00630266">
        <w:rPr>
          <w:color w:val="FF0000"/>
        </w:rPr>
        <w:t xml:space="preserve"> par loi datant de 1919</w:t>
      </w:r>
      <w:r>
        <w:rPr>
          <w:color w:val="FF0000"/>
        </w:rPr>
        <w:t xml:space="preserve"> pour les capacités de plus de 4.5 MW, des autorisations pour les installations de moindres puissances</w:t>
      </w:r>
      <w:r w:rsidR="00B03092">
        <w:t xml:space="preserve">, avec </w:t>
      </w:r>
      <w:r>
        <w:t xml:space="preserve">en pratiques </w:t>
      </w:r>
      <w:r w:rsidR="00B03092">
        <w:t>des renouvellements de concessions de gré à g</w:t>
      </w:r>
      <w:r>
        <w:t>ré, avec préférence pour le concession</w:t>
      </w:r>
      <w:r w:rsidR="00B03092">
        <w:t>naire sortant</w:t>
      </w:r>
      <w:r>
        <w:t>, même s’il y a une procédure de mise en concurrence sur le papier ;</w:t>
      </w:r>
    </w:p>
    <w:p w:rsidR="00B03092" w:rsidRDefault="00630266" w:rsidP="005331C8">
      <w:pPr>
        <w:pStyle w:val="Paragraphedeliste"/>
        <w:numPr>
          <w:ilvl w:val="1"/>
          <w:numId w:val="8"/>
        </w:numPr>
      </w:pPr>
      <w:r>
        <w:t>M</w:t>
      </w:r>
      <w:r w:rsidR="00B03092">
        <w:t xml:space="preserve">ais Bruxelles est venu tout changer : </w:t>
      </w:r>
      <w:r w:rsidRPr="00630266">
        <w:rPr>
          <w:color w:val="FF0000"/>
        </w:rPr>
        <w:t xml:space="preserve">en 2008, </w:t>
      </w:r>
      <w:r w:rsidR="00B03092" w:rsidRPr="00630266">
        <w:rPr>
          <w:color w:val="FF0000"/>
        </w:rPr>
        <w:t>ouverture à la concurrence</w:t>
      </w:r>
      <w:r w:rsidR="00B03092">
        <w:t xml:space="preserve">. </w:t>
      </w:r>
      <w:r w:rsidR="00B03092" w:rsidRPr="00630266">
        <w:rPr>
          <w:color w:val="FF0000"/>
        </w:rPr>
        <w:t xml:space="preserve">Du fait de retards accumulés depuis 2008, D. </w:t>
      </w:r>
      <w:proofErr w:type="spellStart"/>
      <w:r w:rsidR="00B03092" w:rsidRPr="00630266">
        <w:rPr>
          <w:color w:val="FF0000"/>
        </w:rPr>
        <w:t>Batho</w:t>
      </w:r>
      <w:proofErr w:type="spellEnd"/>
      <w:r w:rsidR="00B03092" w:rsidRPr="00630266">
        <w:rPr>
          <w:color w:val="FF0000"/>
        </w:rPr>
        <w:t xml:space="preserve"> a annoncé qu’elle étudiait des solutions alternatives car elle ne voulait pas </w:t>
      </w:r>
      <w:r>
        <w:rPr>
          <w:color w:val="FF0000"/>
        </w:rPr>
        <w:t>une libéralisation des concessions des barrages français</w:t>
      </w:r>
      <w:r w:rsidR="00B03092">
        <w:t xml:space="preserve">. Aucune concession remise en jeu concrètement depuis l’intervention de BXL, on </w:t>
      </w:r>
      <w:r w:rsidR="00B03092" w:rsidRPr="00630266">
        <w:rPr>
          <w:color w:val="FF0000"/>
        </w:rPr>
        <w:t xml:space="preserve">est en </w:t>
      </w:r>
      <w:r w:rsidRPr="00630266">
        <w:rPr>
          <w:color w:val="FF0000"/>
        </w:rPr>
        <w:t>statu</w:t>
      </w:r>
      <w:r w:rsidR="00B03092" w:rsidRPr="00630266">
        <w:rPr>
          <w:color w:val="FF0000"/>
        </w:rPr>
        <w:t xml:space="preserve"> quo sans avoir de visibilité : les concessionnaires sortant sont restés par manque de reprise même s’ils ne sont plus concessionnaires normalement, dur d’amortir les investissements de maintenance si on ne sait pas sur quelle durée amortir</w:t>
      </w:r>
      <w:r>
        <w:t>.</w:t>
      </w:r>
    </w:p>
    <w:p w:rsidR="00630266" w:rsidRDefault="00630266" w:rsidP="00B03092">
      <w:pPr>
        <w:pStyle w:val="Paragraphedeliste"/>
        <w:numPr>
          <w:ilvl w:val="0"/>
          <w:numId w:val="8"/>
        </w:numPr>
      </w:pPr>
      <w:r>
        <w:t xml:space="preserve">Les producteurs en France : </w:t>
      </w:r>
    </w:p>
    <w:p w:rsidR="003551E8" w:rsidRDefault="00B03092" w:rsidP="003551E8">
      <w:pPr>
        <w:pStyle w:val="Paragraphedeliste"/>
        <w:numPr>
          <w:ilvl w:val="1"/>
          <w:numId w:val="8"/>
        </w:numPr>
      </w:pPr>
      <w:r w:rsidRPr="003551E8">
        <w:rPr>
          <w:color w:val="FF0000"/>
        </w:rPr>
        <w:t xml:space="preserve">EDF : 45 </w:t>
      </w:r>
      <w:r w:rsidR="00630266" w:rsidRPr="003551E8">
        <w:rPr>
          <w:color w:val="FF0000"/>
        </w:rPr>
        <w:t>TWh</w:t>
      </w:r>
      <w:r w:rsidRPr="003551E8">
        <w:rPr>
          <w:color w:val="FF0000"/>
        </w:rPr>
        <w:t xml:space="preserve">, GDF </w:t>
      </w:r>
      <w:r w:rsidR="00630266" w:rsidRPr="003551E8">
        <w:rPr>
          <w:color w:val="FF0000"/>
        </w:rPr>
        <w:t xml:space="preserve">SUEZ </w:t>
      </w:r>
      <w:r w:rsidRPr="003551E8">
        <w:rPr>
          <w:color w:val="FF0000"/>
        </w:rPr>
        <w:t xml:space="preserve">15 </w:t>
      </w:r>
      <w:r w:rsidR="00630266" w:rsidRPr="00630266">
        <w:t xml:space="preserve">TWh </w:t>
      </w:r>
      <w:r>
        <w:t>à travers CNR</w:t>
      </w:r>
      <w:r w:rsidR="00630266">
        <w:t xml:space="preserve"> (compagnie nationale du Rhône)</w:t>
      </w:r>
      <w:r>
        <w:t xml:space="preserve">, un peu moins de 2 pour la </w:t>
      </w:r>
      <w:r w:rsidR="00630266">
        <w:t>SHEM (</w:t>
      </w:r>
      <w:r w:rsidR="00630266" w:rsidRPr="00630266">
        <w:t xml:space="preserve">Société </w:t>
      </w:r>
      <w:proofErr w:type="spellStart"/>
      <w:r w:rsidR="00630266" w:rsidRPr="00630266">
        <w:t>Hydro-Electrique</w:t>
      </w:r>
      <w:proofErr w:type="spellEnd"/>
      <w:r w:rsidR="00630266" w:rsidRPr="00630266">
        <w:t xml:space="preserve"> du Midi)</w:t>
      </w:r>
      <w:r w:rsidR="003551E8">
        <w:t> ;</w:t>
      </w:r>
    </w:p>
    <w:p w:rsidR="00AF41F9" w:rsidRPr="00D10489" w:rsidRDefault="00AF41F9" w:rsidP="003551E8">
      <w:pPr>
        <w:pStyle w:val="Paragraphedeliste"/>
        <w:numPr>
          <w:ilvl w:val="1"/>
          <w:numId w:val="8"/>
        </w:numPr>
      </w:pPr>
      <w:r>
        <w:t xml:space="preserve">Relations avec RTE : </w:t>
      </w:r>
      <w:r w:rsidR="003551E8">
        <w:t>le producteur s’engage à délivrer</w:t>
      </w:r>
      <w:r>
        <w:t xml:space="preserve"> </w:t>
      </w:r>
      <w:r w:rsidR="003551E8">
        <w:t>son électricité la veille</w:t>
      </w:r>
      <w:r>
        <w:t xml:space="preserve">, donc en cas </w:t>
      </w:r>
      <w:r w:rsidR="003551E8">
        <w:t xml:space="preserve">où il ne peut pas assurer son engagement, il </w:t>
      </w:r>
      <w:r>
        <w:t xml:space="preserve">doit s’approvisionner </w:t>
      </w:r>
      <w:r w:rsidR="003551E8">
        <w:t xml:space="preserve">à ses frais </w:t>
      </w:r>
      <w:r>
        <w:t>sur le marché de l’électricité</w:t>
      </w:r>
      <w:r w:rsidR="003551E8">
        <w:t>.</w:t>
      </w:r>
    </w:p>
    <w:sectPr w:rsidR="00AF41F9" w:rsidRPr="00D10489" w:rsidSect="00D52048">
      <w:headerReference w:type="default" r:id="rId10"/>
      <w:footerReference w:type="default" r:id="rId11"/>
      <w:pgSz w:w="11906" w:h="16838"/>
      <w:pgMar w:top="968" w:right="1417" w:bottom="851"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C01" w:rsidRDefault="00176C01" w:rsidP="00BB7A55">
      <w:r>
        <w:separator/>
      </w:r>
    </w:p>
  </w:endnote>
  <w:endnote w:type="continuationSeparator" w:id="0">
    <w:p w:rsidR="00176C01" w:rsidRDefault="00176C01" w:rsidP="00BB7A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9E" w:rsidRPr="00464E20" w:rsidRDefault="00272FB7" w:rsidP="00272FB7">
    <w:pPr>
      <w:pStyle w:val="Pieddepage"/>
      <w:pBdr>
        <w:top w:val="single" w:sz="12" w:space="1" w:color="1F497D" w:themeColor="text2"/>
      </w:pBdr>
    </w:pPr>
    <w:r w:rsidRPr="00464E20">
      <w:ptab w:relativeTo="margin" w:alignment="right" w:leader="none"/>
    </w:r>
    <w:r w:rsidR="00A5349E">
      <w:t>Hydroélectricité</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C01" w:rsidRDefault="00176C01" w:rsidP="00BB7A55">
      <w:r>
        <w:separator/>
      </w:r>
    </w:p>
  </w:footnote>
  <w:footnote w:type="continuationSeparator" w:id="0">
    <w:p w:rsidR="00176C01" w:rsidRDefault="00176C01" w:rsidP="00BB7A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55" w:rsidRDefault="00D52048">
    <w:pPr>
      <w:pStyle w:val="En-tte"/>
    </w:pPr>
    <w:r>
      <w:t>Aurélien Schuller</w:t>
    </w:r>
    <w:r>
      <w:ptab w:relativeTo="margin" w:alignment="center" w:leader="none"/>
    </w:r>
    <w:r>
      <w:ptab w:relativeTo="margin" w:alignment="right" w:leader="none"/>
    </w:r>
    <w:fldSimple w:instr=" TIME \@ &quot;dd/MM/yy&quot; ">
      <w:r w:rsidR="00E741EC">
        <w:rPr>
          <w:noProof/>
        </w:rPr>
        <w:t>24/04/13</w:t>
      </w:r>
    </w:fldSimple>
    <w:sdt>
      <w:sdtPr>
        <w:id w:val="2189422"/>
        <w:docPartObj>
          <w:docPartGallery w:val="Page Numbers (Margins)"/>
          <w:docPartUnique/>
        </w:docPartObj>
      </w:sdtPr>
      <w:sdtContent>
        <w:r w:rsidR="00B73192">
          <w:rPr>
            <w:noProof/>
            <w:lang w:eastAsia="zh-TW"/>
          </w:rPr>
          <w:pict>
            <v:rect id="_x0000_s2050" style="position:absolute;left:0;text-align:left;margin-left:0;margin-top:0;width:57.55pt;height:25.95pt;z-index:251660288;mso-width-percent:800;mso-position-horizontal:left;mso-position-horizontal-relative:left-margin-area;mso-position-vertical:center;mso-position-vertical-relative:margin;mso-width-percent:800;mso-width-relative:left-margin-area" o:allowincell="f" stroked="f">
              <v:textbox style="mso-next-textbox:#_x0000_s2050">
                <w:txbxContent>
                  <w:p w:rsidR="00BB7A55" w:rsidRDefault="00B73192">
                    <w:pPr>
                      <w:pBdr>
                        <w:bottom w:val="single" w:sz="4" w:space="1" w:color="auto"/>
                      </w:pBdr>
                      <w:jc w:val="right"/>
                    </w:pPr>
                    <w:fldSimple w:instr=" PAGE   \* MERGEFORMAT ">
                      <w:r w:rsidR="00E741EC">
                        <w:rPr>
                          <w:noProof/>
                        </w:rPr>
                        <w:t>1</w:t>
                      </w:r>
                    </w:fldSimple>
                  </w:p>
                </w:txbxContent>
              </v:textbox>
              <w10:wrap anchorx="margin" anchory="margin"/>
            </v:rect>
          </w:pic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68EC"/>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30C3D41"/>
    <w:multiLevelType w:val="hybridMultilevel"/>
    <w:tmpl w:val="5F72217E"/>
    <w:lvl w:ilvl="0" w:tplc="21307AC0">
      <w:start w:val="1"/>
      <w:numFmt w:val="bullet"/>
      <w:lvlText w:val=""/>
      <w:lvlJc w:val="left"/>
      <w:pPr>
        <w:tabs>
          <w:tab w:val="num" w:pos="720"/>
        </w:tabs>
        <w:ind w:left="720" w:hanging="360"/>
      </w:pPr>
      <w:rPr>
        <w:rFonts w:ascii="Wingdings" w:hAnsi="Wingdings" w:hint="default"/>
      </w:rPr>
    </w:lvl>
    <w:lvl w:ilvl="1" w:tplc="B3147C1E" w:tentative="1">
      <w:start w:val="1"/>
      <w:numFmt w:val="bullet"/>
      <w:lvlText w:val=""/>
      <w:lvlJc w:val="left"/>
      <w:pPr>
        <w:tabs>
          <w:tab w:val="num" w:pos="1440"/>
        </w:tabs>
        <w:ind w:left="1440" w:hanging="360"/>
      </w:pPr>
      <w:rPr>
        <w:rFonts w:ascii="Wingdings" w:hAnsi="Wingdings" w:hint="default"/>
      </w:rPr>
    </w:lvl>
    <w:lvl w:ilvl="2" w:tplc="EDAC9AC4">
      <w:start w:val="1"/>
      <w:numFmt w:val="bullet"/>
      <w:lvlText w:val=""/>
      <w:lvlJc w:val="left"/>
      <w:pPr>
        <w:tabs>
          <w:tab w:val="num" w:pos="2160"/>
        </w:tabs>
        <w:ind w:left="2160" w:hanging="360"/>
      </w:pPr>
      <w:rPr>
        <w:rFonts w:ascii="Wingdings" w:hAnsi="Wingdings" w:hint="default"/>
      </w:rPr>
    </w:lvl>
    <w:lvl w:ilvl="3" w:tplc="E73ED800" w:tentative="1">
      <w:start w:val="1"/>
      <w:numFmt w:val="bullet"/>
      <w:lvlText w:val=""/>
      <w:lvlJc w:val="left"/>
      <w:pPr>
        <w:tabs>
          <w:tab w:val="num" w:pos="2880"/>
        </w:tabs>
        <w:ind w:left="2880" w:hanging="360"/>
      </w:pPr>
      <w:rPr>
        <w:rFonts w:ascii="Wingdings" w:hAnsi="Wingdings" w:hint="default"/>
      </w:rPr>
    </w:lvl>
    <w:lvl w:ilvl="4" w:tplc="1D86E508" w:tentative="1">
      <w:start w:val="1"/>
      <w:numFmt w:val="bullet"/>
      <w:lvlText w:val=""/>
      <w:lvlJc w:val="left"/>
      <w:pPr>
        <w:tabs>
          <w:tab w:val="num" w:pos="3600"/>
        </w:tabs>
        <w:ind w:left="3600" w:hanging="360"/>
      </w:pPr>
      <w:rPr>
        <w:rFonts w:ascii="Wingdings" w:hAnsi="Wingdings" w:hint="default"/>
      </w:rPr>
    </w:lvl>
    <w:lvl w:ilvl="5" w:tplc="ECD8B098" w:tentative="1">
      <w:start w:val="1"/>
      <w:numFmt w:val="bullet"/>
      <w:lvlText w:val=""/>
      <w:lvlJc w:val="left"/>
      <w:pPr>
        <w:tabs>
          <w:tab w:val="num" w:pos="4320"/>
        </w:tabs>
        <w:ind w:left="4320" w:hanging="360"/>
      </w:pPr>
      <w:rPr>
        <w:rFonts w:ascii="Wingdings" w:hAnsi="Wingdings" w:hint="default"/>
      </w:rPr>
    </w:lvl>
    <w:lvl w:ilvl="6" w:tplc="2E8648BC" w:tentative="1">
      <w:start w:val="1"/>
      <w:numFmt w:val="bullet"/>
      <w:lvlText w:val=""/>
      <w:lvlJc w:val="left"/>
      <w:pPr>
        <w:tabs>
          <w:tab w:val="num" w:pos="5040"/>
        </w:tabs>
        <w:ind w:left="5040" w:hanging="360"/>
      </w:pPr>
      <w:rPr>
        <w:rFonts w:ascii="Wingdings" w:hAnsi="Wingdings" w:hint="default"/>
      </w:rPr>
    </w:lvl>
    <w:lvl w:ilvl="7" w:tplc="A4468036" w:tentative="1">
      <w:start w:val="1"/>
      <w:numFmt w:val="bullet"/>
      <w:lvlText w:val=""/>
      <w:lvlJc w:val="left"/>
      <w:pPr>
        <w:tabs>
          <w:tab w:val="num" w:pos="5760"/>
        </w:tabs>
        <w:ind w:left="5760" w:hanging="360"/>
      </w:pPr>
      <w:rPr>
        <w:rFonts w:ascii="Wingdings" w:hAnsi="Wingdings" w:hint="default"/>
      </w:rPr>
    </w:lvl>
    <w:lvl w:ilvl="8" w:tplc="217022CC" w:tentative="1">
      <w:start w:val="1"/>
      <w:numFmt w:val="bullet"/>
      <w:lvlText w:val=""/>
      <w:lvlJc w:val="left"/>
      <w:pPr>
        <w:tabs>
          <w:tab w:val="num" w:pos="6480"/>
        </w:tabs>
        <w:ind w:left="6480" w:hanging="360"/>
      </w:pPr>
      <w:rPr>
        <w:rFonts w:ascii="Wingdings" w:hAnsi="Wingdings" w:hint="default"/>
      </w:rPr>
    </w:lvl>
  </w:abstractNum>
  <w:abstractNum w:abstractNumId="2">
    <w:nsid w:val="307B2614"/>
    <w:multiLevelType w:val="hybridMultilevel"/>
    <w:tmpl w:val="2B78007E"/>
    <w:lvl w:ilvl="0" w:tplc="9034B7DC">
      <w:numFmt w:val="bullet"/>
      <w:lvlText w:val="-"/>
      <w:lvlJc w:val="left"/>
      <w:pPr>
        <w:ind w:left="720" w:hanging="360"/>
      </w:pPr>
      <w:rPr>
        <w:rFonts w:ascii="Palatino Linotype" w:eastAsiaTheme="minorHAnsi" w:hAnsi="Palatino Linotype"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7E4870"/>
    <w:multiLevelType w:val="hybridMultilevel"/>
    <w:tmpl w:val="62FE2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C906B7B"/>
    <w:multiLevelType w:val="hybridMultilevel"/>
    <w:tmpl w:val="3AD20B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0BC3DDE"/>
    <w:multiLevelType w:val="hybridMultilevel"/>
    <w:tmpl w:val="6F30E9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0"/>
  </w:num>
  <w:num w:numId="6">
    <w:abstractNumId w:val="0"/>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6605FF"/>
    <w:rsid w:val="000422E2"/>
    <w:rsid w:val="000A2010"/>
    <w:rsid w:val="000A6CA6"/>
    <w:rsid w:val="000D19AE"/>
    <w:rsid w:val="001057E7"/>
    <w:rsid w:val="001756F1"/>
    <w:rsid w:val="00176C01"/>
    <w:rsid w:val="001808A6"/>
    <w:rsid w:val="001C7238"/>
    <w:rsid w:val="001D05FE"/>
    <w:rsid w:val="001E6A69"/>
    <w:rsid w:val="00267A7C"/>
    <w:rsid w:val="00272FB7"/>
    <w:rsid w:val="00295236"/>
    <w:rsid w:val="00351148"/>
    <w:rsid w:val="00353E5A"/>
    <w:rsid w:val="003551E8"/>
    <w:rsid w:val="00376DC9"/>
    <w:rsid w:val="00395164"/>
    <w:rsid w:val="00401219"/>
    <w:rsid w:val="00434225"/>
    <w:rsid w:val="004419DC"/>
    <w:rsid w:val="00441C73"/>
    <w:rsid w:val="00464E20"/>
    <w:rsid w:val="00467D7C"/>
    <w:rsid w:val="0047199B"/>
    <w:rsid w:val="004B2F84"/>
    <w:rsid w:val="004D547D"/>
    <w:rsid w:val="005331C8"/>
    <w:rsid w:val="00544C74"/>
    <w:rsid w:val="00580D3A"/>
    <w:rsid w:val="005B3B0F"/>
    <w:rsid w:val="005E7167"/>
    <w:rsid w:val="006166A3"/>
    <w:rsid w:val="00630266"/>
    <w:rsid w:val="00636FDE"/>
    <w:rsid w:val="00654C04"/>
    <w:rsid w:val="006605FF"/>
    <w:rsid w:val="006A0D72"/>
    <w:rsid w:val="006E3CE1"/>
    <w:rsid w:val="00713BE2"/>
    <w:rsid w:val="0072310C"/>
    <w:rsid w:val="00746542"/>
    <w:rsid w:val="00756511"/>
    <w:rsid w:val="00762E2F"/>
    <w:rsid w:val="00780254"/>
    <w:rsid w:val="007F04D6"/>
    <w:rsid w:val="00803D07"/>
    <w:rsid w:val="00847C56"/>
    <w:rsid w:val="0085314D"/>
    <w:rsid w:val="00875187"/>
    <w:rsid w:val="008C56EE"/>
    <w:rsid w:val="008E7C52"/>
    <w:rsid w:val="009020D2"/>
    <w:rsid w:val="009340AF"/>
    <w:rsid w:val="00964246"/>
    <w:rsid w:val="00990638"/>
    <w:rsid w:val="009912DF"/>
    <w:rsid w:val="00991992"/>
    <w:rsid w:val="00A16042"/>
    <w:rsid w:val="00A3181B"/>
    <w:rsid w:val="00A5349E"/>
    <w:rsid w:val="00A77D3A"/>
    <w:rsid w:val="00A87DA1"/>
    <w:rsid w:val="00A924E1"/>
    <w:rsid w:val="00A96D68"/>
    <w:rsid w:val="00AF41F9"/>
    <w:rsid w:val="00B03092"/>
    <w:rsid w:val="00B0633F"/>
    <w:rsid w:val="00B73192"/>
    <w:rsid w:val="00B856D7"/>
    <w:rsid w:val="00BB7A55"/>
    <w:rsid w:val="00BC5CE0"/>
    <w:rsid w:val="00BD1689"/>
    <w:rsid w:val="00BF5A02"/>
    <w:rsid w:val="00C47964"/>
    <w:rsid w:val="00C57D00"/>
    <w:rsid w:val="00C62D7B"/>
    <w:rsid w:val="00C67D74"/>
    <w:rsid w:val="00C72D28"/>
    <w:rsid w:val="00C80CA2"/>
    <w:rsid w:val="00C975E6"/>
    <w:rsid w:val="00CA596C"/>
    <w:rsid w:val="00CE0104"/>
    <w:rsid w:val="00CF0DFF"/>
    <w:rsid w:val="00CF3DFC"/>
    <w:rsid w:val="00D10489"/>
    <w:rsid w:val="00D1054B"/>
    <w:rsid w:val="00D2766A"/>
    <w:rsid w:val="00D414F3"/>
    <w:rsid w:val="00D42EE5"/>
    <w:rsid w:val="00D52048"/>
    <w:rsid w:val="00D66ED8"/>
    <w:rsid w:val="00D81819"/>
    <w:rsid w:val="00E23612"/>
    <w:rsid w:val="00E741EC"/>
    <w:rsid w:val="00EA6419"/>
    <w:rsid w:val="00ED40CB"/>
    <w:rsid w:val="00F01D32"/>
    <w:rsid w:val="00F1389B"/>
    <w:rsid w:val="00F32A70"/>
    <w:rsid w:val="00F37D43"/>
    <w:rsid w:val="00F41F84"/>
    <w:rsid w:val="00F46BA7"/>
    <w:rsid w:val="00F633D0"/>
    <w:rsid w:val="00F80F3E"/>
    <w:rsid w:val="00F97D97"/>
    <w:rsid w:val="00FD3937"/>
    <w:rsid w:val="00FF66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14D"/>
    <w:pPr>
      <w:spacing w:after="0" w:line="240" w:lineRule="auto"/>
      <w:jc w:val="both"/>
    </w:pPr>
    <w:rPr>
      <w:rFonts w:ascii="Palatino Linotype" w:hAnsi="Palatino Linotype"/>
    </w:rPr>
  </w:style>
  <w:style w:type="paragraph" w:styleId="Titre1">
    <w:name w:val="heading 1"/>
    <w:basedOn w:val="Normal"/>
    <w:next w:val="Normal"/>
    <w:link w:val="Titre1Car"/>
    <w:uiPriority w:val="9"/>
    <w:qFormat/>
    <w:rsid w:val="00D1054B"/>
    <w:pPr>
      <w:keepNext/>
      <w:keepLines/>
      <w:numPr>
        <w:numId w:val="7"/>
      </w:numPr>
      <w:outlineLvl w:val="0"/>
    </w:pPr>
    <w:rPr>
      <w:rFonts w:eastAsiaTheme="majorEastAsia" w:cstheme="majorBidi"/>
      <w:b/>
      <w:bCs/>
      <w:sz w:val="28"/>
      <w:szCs w:val="28"/>
    </w:rPr>
  </w:style>
  <w:style w:type="paragraph" w:styleId="Titre2">
    <w:name w:val="heading 2"/>
    <w:basedOn w:val="Normal"/>
    <w:next w:val="Normal"/>
    <w:link w:val="Titre2Car"/>
    <w:uiPriority w:val="9"/>
    <w:unhideWhenUsed/>
    <w:qFormat/>
    <w:rsid w:val="00D1054B"/>
    <w:pPr>
      <w:keepNext/>
      <w:keepLines/>
      <w:numPr>
        <w:ilvl w:val="1"/>
        <w:numId w:val="7"/>
      </w:numPr>
      <w:outlineLvl w:val="1"/>
    </w:pPr>
    <w:rPr>
      <w:rFonts w:eastAsiaTheme="majorEastAsia" w:cstheme="majorBidi"/>
      <w:b/>
      <w:bCs/>
      <w:i/>
      <w:sz w:val="26"/>
      <w:szCs w:val="26"/>
    </w:rPr>
  </w:style>
  <w:style w:type="paragraph" w:styleId="Titre3">
    <w:name w:val="heading 3"/>
    <w:basedOn w:val="Normal"/>
    <w:next w:val="Normal"/>
    <w:link w:val="Titre3Car"/>
    <w:uiPriority w:val="9"/>
    <w:unhideWhenUsed/>
    <w:qFormat/>
    <w:rsid w:val="00D1054B"/>
    <w:pPr>
      <w:keepNext/>
      <w:keepLines/>
      <w:numPr>
        <w:ilvl w:val="2"/>
        <w:numId w:val="7"/>
      </w:numPr>
      <w:outlineLvl w:val="2"/>
    </w:pPr>
    <w:rPr>
      <w:rFonts w:eastAsiaTheme="majorEastAsia" w:cstheme="majorBidi"/>
      <w:b/>
      <w:bC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Petit"/>
    <w:uiPriority w:val="1"/>
    <w:qFormat/>
    <w:rsid w:val="00636FDE"/>
    <w:pPr>
      <w:spacing w:after="0" w:line="240" w:lineRule="auto"/>
      <w:jc w:val="both"/>
    </w:pPr>
    <w:rPr>
      <w:rFonts w:ascii="Palatino Linotype" w:hAnsi="Palatino Linotype"/>
      <w:sz w:val="16"/>
    </w:rPr>
  </w:style>
  <w:style w:type="character" w:customStyle="1" w:styleId="Titre1Car">
    <w:name w:val="Titre 1 Car"/>
    <w:basedOn w:val="Policepardfaut"/>
    <w:link w:val="Titre1"/>
    <w:uiPriority w:val="9"/>
    <w:rsid w:val="00D1054B"/>
    <w:rPr>
      <w:rFonts w:ascii="Palatino Linotype" w:eastAsiaTheme="majorEastAsia" w:hAnsi="Palatino Linotype" w:cstheme="majorBidi"/>
      <w:b/>
      <w:bCs/>
      <w:sz w:val="28"/>
      <w:szCs w:val="28"/>
    </w:rPr>
  </w:style>
  <w:style w:type="character" w:customStyle="1" w:styleId="Titre2Car">
    <w:name w:val="Titre 2 Car"/>
    <w:basedOn w:val="Policepardfaut"/>
    <w:link w:val="Titre2"/>
    <w:uiPriority w:val="9"/>
    <w:rsid w:val="00D1054B"/>
    <w:rPr>
      <w:rFonts w:ascii="Palatino Linotype" w:eastAsiaTheme="majorEastAsia" w:hAnsi="Palatino Linotype" w:cstheme="majorBidi"/>
      <w:b/>
      <w:bCs/>
      <w:i/>
      <w:sz w:val="26"/>
      <w:szCs w:val="26"/>
    </w:rPr>
  </w:style>
  <w:style w:type="paragraph" w:styleId="Titre">
    <w:name w:val="Title"/>
    <w:basedOn w:val="Normal"/>
    <w:next w:val="Normal"/>
    <w:link w:val="TitreCar"/>
    <w:uiPriority w:val="10"/>
    <w:qFormat/>
    <w:rsid w:val="00636FDE"/>
    <w:pPr>
      <w:pBdr>
        <w:bottom w:val="single" w:sz="8" w:space="4" w:color="4F81BD" w:themeColor="accent1"/>
      </w:pBdr>
      <w:spacing w:after="300"/>
      <w:contextualSpacing/>
      <w:jc w:val="center"/>
    </w:pPr>
    <w:rPr>
      <w:rFonts w:eastAsiaTheme="majorEastAsia" w:cstheme="majorBidi"/>
      <w:spacing w:val="5"/>
      <w:kern w:val="28"/>
      <w:sz w:val="52"/>
      <w:szCs w:val="52"/>
    </w:rPr>
  </w:style>
  <w:style w:type="character" w:customStyle="1" w:styleId="TitreCar">
    <w:name w:val="Titre Car"/>
    <w:basedOn w:val="Policepardfaut"/>
    <w:link w:val="Titre"/>
    <w:uiPriority w:val="10"/>
    <w:rsid w:val="00636FDE"/>
    <w:rPr>
      <w:rFonts w:ascii="Palatino Linotype" w:eastAsiaTheme="majorEastAsia" w:hAnsi="Palatino Linotype" w:cstheme="majorBidi"/>
      <w:spacing w:val="5"/>
      <w:kern w:val="28"/>
      <w:sz w:val="52"/>
      <w:szCs w:val="52"/>
    </w:rPr>
  </w:style>
  <w:style w:type="paragraph" w:styleId="En-tte">
    <w:name w:val="header"/>
    <w:basedOn w:val="Normal"/>
    <w:link w:val="En-tteCar"/>
    <w:uiPriority w:val="99"/>
    <w:unhideWhenUsed/>
    <w:rsid w:val="00BB7A55"/>
    <w:pPr>
      <w:tabs>
        <w:tab w:val="center" w:pos="4536"/>
        <w:tab w:val="right" w:pos="9072"/>
      </w:tabs>
    </w:pPr>
  </w:style>
  <w:style w:type="character" w:customStyle="1" w:styleId="En-tteCar">
    <w:name w:val="En-tête Car"/>
    <w:basedOn w:val="Policepardfaut"/>
    <w:link w:val="En-tte"/>
    <w:uiPriority w:val="99"/>
    <w:rsid w:val="00BB7A55"/>
    <w:rPr>
      <w:rFonts w:ascii="Palatino Linotype" w:hAnsi="Palatino Linotype"/>
    </w:rPr>
  </w:style>
  <w:style w:type="paragraph" w:styleId="Pieddepage">
    <w:name w:val="footer"/>
    <w:basedOn w:val="Normal"/>
    <w:link w:val="PieddepageCar"/>
    <w:uiPriority w:val="99"/>
    <w:unhideWhenUsed/>
    <w:rsid w:val="00BB7A55"/>
    <w:pPr>
      <w:tabs>
        <w:tab w:val="center" w:pos="4536"/>
        <w:tab w:val="right" w:pos="9072"/>
      </w:tabs>
    </w:pPr>
  </w:style>
  <w:style w:type="character" w:customStyle="1" w:styleId="PieddepageCar">
    <w:name w:val="Pied de page Car"/>
    <w:basedOn w:val="Policepardfaut"/>
    <w:link w:val="Pieddepage"/>
    <w:uiPriority w:val="99"/>
    <w:rsid w:val="00BB7A55"/>
    <w:rPr>
      <w:rFonts w:ascii="Palatino Linotype" w:hAnsi="Palatino Linotype"/>
    </w:rPr>
  </w:style>
  <w:style w:type="paragraph" w:styleId="Notedebasdepage">
    <w:name w:val="footnote text"/>
    <w:basedOn w:val="Normal"/>
    <w:link w:val="NotedebasdepageCar"/>
    <w:uiPriority w:val="99"/>
    <w:semiHidden/>
    <w:unhideWhenUsed/>
    <w:rsid w:val="00CF3DFC"/>
    <w:rPr>
      <w:sz w:val="20"/>
      <w:szCs w:val="20"/>
    </w:rPr>
  </w:style>
  <w:style w:type="character" w:customStyle="1" w:styleId="NotedebasdepageCar">
    <w:name w:val="Note de bas de page Car"/>
    <w:basedOn w:val="Policepardfaut"/>
    <w:link w:val="Notedebasdepage"/>
    <w:uiPriority w:val="99"/>
    <w:semiHidden/>
    <w:rsid w:val="00CF3DFC"/>
    <w:rPr>
      <w:rFonts w:ascii="Palatino Linotype" w:hAnsi="Palatino Linotype"/>
      <w:sz w:val="20"/>
      <w:szCs w:val="20"/>
    </w:rPr>
  </w:style>
  <w:style w:type="character" w:styleId="Appelnotedebasdep">
    <w:name w:val="footnote reference"/>
    <w:basedOn w:val="Policepardfaut"/>
    <w:uiPriority w:val="99"/>
    <w:semiHidden/>
    <w:unhideWhenUsed/>
    <w:rsid w:val="00CF3DFC"/>
    <w:rPr>
      <w:vertAlign w:val="superscript"/>
    </w:rPr>
  </w:style>
  <w:style w:type="paragraph" w:styleId="Paragraphedeliste">
    <w:name w:val="List Paragraph"/>
    <w:basedOn w:val="Normal"/>
    <w:uiPriority w:val="34"/>
    <w:qFormat/>
    <w:rsid w:val="00CF3DFC"/>
    <w:pPr>
      <w:ind w:left="720"/>
      <w:contextualSpacing/>
    </w:pPr>
  </w:style>
  <w:style w:type="paragraph" w:styleId="Textedebulles">
    <w:name w:val="Balloon Text"/>
    <w:basedOn w:val="Normal"/>
    <w:link w:val="TextedebullesCar"/>
    <w:uiPriority w:val="99"/>
    <w:semiHidden/>
    <w:unhideWhenUsed/>
    <w:rsid w:val="00272FB7"/>
    <w:rPr>
      <w:rFonts w:ascii="Tahoma" w:hAnsi="Tahoma" w:cs="Tahoma"/>
      <w:sz w:val="16"/>
      <w:szCs w:val="16"/>
    </w:rPr>
  </w:style>
  <w:style w:type="character" w:customStyle="1" w:styleId="TextedebullesCar">
    <w:name w:val="Texte de bulles Car"/>
    <w:basedOn w:val="Policepardfaut"/>
    <w:link w:val="Textedebulles"/>
    <w:uiPriority w:val="99"/>
    <w:semiHidden/>
    <w:rsid w:val="00272FB7"/>
    <w:rPr>
      <w:rFonts w:ascii="Tahoma" w:hAnsi="Tahoma" w:cs="Tahoma"/>
      <w:sz w:val="16"/>
      <w:szCs w:val="16"/>
    </w:rPr>
  </w:style>
  <w:style w:type="paragraph" w:styleId="Lgende">
    <w:name w:val="caption"/>
    <w:basedOn w:val="Normal"/>
    <w:next w:val="Normal"/>
    <w:uiPriority w:val="35"/>
    <w:unhideWhenUsed/>
    <w:qFormat/>
    <w:rsid w:val="00F01D32"/>
    <w:rPr>
      <w:b/>
      <w:bCs/>
      <w:sz w:val="18"/>
      <w:szCs w:val="18"/>
    </w:rPr>
  </w:style>
  <w:style w:type="paragraph" w:styleId="TM1">
    <w:name w:val="toc 1"/>
    <w:basedOn w:val="Normal"/>
    <w:next w:val="Normal"/>
    <w:autoRedefine/>
    <w:uiPriority w:val="39"/>
    <w:unhideWhenUsed/>
    <w:rsid w:val="00F01D32"/>
    <w:pPr>
      <w:spacing w:before="360" w:after="360"/>
      <w:jc w:val="left"/>
    </w:pPr>
    <w:rPr>
      <w:rFonts w:cstheme="minorHAnsi"/>
      <w:b/>
      <w:bCs/>
      <w:caps/>
    </w:rPr>
  </w:style>
  <w:style w:type="paragraph" w:styleId="TM2">
    <w:name w:val="toc 2"/>
    <w:basedOn w:val="Normal"/>
    <w:next w:val="Normal"/>
    <w:autoRedefine/>
    <w:uiPriority w:val="39"/>
    <w:unhideWhenUsed/>
    <w:qFormat/>
    <w:rsid w:val="00F01D32"/>
    <w:pPr>
      <w:jc w:val="left"/>
    </w:pPr>
    <w:rPr>
      <w:rFonts w:cstheme="minorHAnsi"/>
      <w:bCs/>
      <w:smallCaps/>
    </w:rPr>
  </w:style>
  <w:style w:type="character" w:styleId="Lienhypertexte">
    <w:name w:val="Hyperlink"/>
    <w:basedOn w:val="Policepardfaut"/>
    <w:uiPriority w:val="99"/>
    <w:unhideWhenUsed/>
    <w:rsid w:val="00CF0DFF"/>
    <w:rPr>
      <w:color w:val="0000FF" w:themeColor="hyperlink"/>
      <w:u w:val="single"/>
    </w:rPr>
  </w:style>
  <w:style w:type="character" w:customStyle="1" w:styleId="Titre3Car">
    <w:name w:val="Titre 3 Car"/>
    <w:basedOn w:val="Policepardfaut"/>
    <w:link w:val="Titre3"/>
    <w:uiPriority w:val="9"/>
    <w:rsid w:val="00D1054B"/>
    <w:rPr>
      <w:rFonts w:ascii="Palatino Linotype" w:eastAsiaTheme="majorEastAsia" w:hAnsi="Palatino Linotype" w:cstheme="majorBidi"/>
      <w:b/>
      <w:bCs/>
      <w:sz w:val="24"/>
      <w:u w:val="single"/>
    </w:rPr>
  </w:style>
  <w:style w:type="character" w:styleId="Emphaseintense">
    <w:name w:val="Intense Emphasis"/>
    <w:basedOn w:val="Policepardfaut"/>
    <w:uiPriority w:val="21"/>
    <w:qFormat/>
    <w:rsid w:val="00295236"/>
    <w:rPr>
      <w:rFonts w:ascii="Century Gothic" w:hAnsi="Century Gothic"/>
      <w:b/>
      <w:bCs/>
      <w:iCs/>
      <w:color w:val="F79646" w:themeColor="accent6"/>
      <w:bdr w:val="single" w:sz="8" w:space="0" w:color="E36C0A" w:themeColor="accent6" w:themeShade="BF"/>
      <w:shd w:val="clear" w:color="auto" w:fill="FDE9D9" w:themeFill="accent6" w:themeFillTint="33"/>
    </w:rPr>
  </w:style>
  <w:style w:type="paragraph" w:customStyle="1" w:styleId="Recommandation">
    <w:name w:val="Recommandation"/>
    <w:basedOn w:val="Normal"/>
    <w:link w:val="RecommandationCar"/>
    <w:qFormat/>
    <w:rsid w:val="00B856D7"/>
    <w:pPr>
      <w:pBdr>
        <w:top w:val="single" w:sz="8" w:space="1" w:color="E36C0A" w:themeColor="accent6" w:themeShade="BF"/>
        <w:left w:val="single" w:sz="8" w:space="4" w:color="E36C0A" w:themeColor="accent6" w:themeShade="BF"/>
        <w:bottom w:val="single" w:sz="8" w:space="1" w:color="E36C0A" w:themeColor="accent6" w:themeShade="BF"/>
        <w:right w:val="single" w:sz="8" w:space="4" w:color="E36C0A" w:themeColor="accent6" w:themeShade="BF"/>
      </w:pBdr>
      <w:shd w:val="clear" w:color="auto" w:fill="FDE9D9" w:themeFill="accent6" w:themeFillTint="33"/>
    </w:pPr>
    <w:rPr>
      <w:rFonts w:ascii="Century Gothic" w:hAnsi="Century Gothic"/>
      <w:b/>
      <w:bCs/>
      <w:iCs/>
      <w:color w:val="F79646" w:themeColor="accent6"/>
    </w:rPr>
  </w:style>
  <w:style w:type="character" w:customStyle="1" w:styleId="RecommandationCar">
    <w:name w:val="Recommandation Car"/>
    <w:basedOn w:val="Policepardfaut"/>
    <w:link w:val="Recommandation"/>
    <w:rsid w:val="00B856D7"/>
    <w:rPr>
      <w:rFonts w:ascii="Century Gothic" w:hAnsi="Century Gothic"/>
      <w:b/>
      <w:bCs/>
      <w:iCs/>
      <w:color w:val="F79646" w:themeColor="accent6"/>
      <w:shd w:val="clear" w:color="auto" w:fill="FDE9D9" w:themeFill="accent6" w:themeFillTint="33"/>
    </w:rPr>
  </w:style>
</w:styles>
</file>

<file path=word/webSettings.xml><?xml version="1.0" encoding="utf-8"?>
<w:webSettings xmlns:r="http://schemas.openxmlformats.org/officeDocument/2006/relationships" xmlns:w="http://schemas.openxmlformats.org/wordprocessingml/2006/main">
  <w:divs>
    <w:div w:id="435249283">
      <w:bodyDiv w:val="1"/>
      <w:marLeft w:val="0"/>
      <w:marRight w:val="0"/>
      <w:marTop w:val="0"/>
      <w:marBottom w:val="0"/>
      <w:divBdr>
        <w:top w:val="none" w:sz="0" w:space="0" w:color="auto"/>
        <w:left w:val="none" w:sz="0" w:space="0" w:color="auto"/>
        <w:bottom w:val="none" w:sz="0" w:space="0" w:color="auto"/>
        <w:right w:val="none" w:sz="0" w:space="0" w:color="auto"/>
      </w:divBdr>
    </w:div>
    <w:div w:id="1796021933">
      <w:bodyDiv w:val="1"/>
      <w:marLeft w:val="0"/>
      <w:marRight w:val="0"/>
      <w:marTop w:val="0"/>
      <w:marBottom w:val="0"/>
      <w:divBdr>
        <w:top w:val="none" w:sz="0" w:space="0" w:color="auto"/>
        <w:left w:val="none" w:sz="0" w:space="0" w:color="auto"/>
        <w:bottom w:val="none" w:sz="0" w:space="0" w:color="auto"/>
        <w:right w:val="none" w:sz="0" w:space="0" w:color="auto"/>
      </w:divBdr>
      <w:divsChild>
        <w:div w:id="910888961">
          <w:marLeft w:val="1800"/>
          <w:marRight w:val="0"/>
          <w:marTop w:val="115"/>
          <w:marBottom w:val="0"/>
          <w:divBdr>
            <w:top w:val="none" w:sz="0" w:space="0" w:color="auto"/>
            <w:left w:val="none" w:sz="0" w:space="0" w:color="auto"/>
            <w:bottom w:val="none" w:sz="0" w:space="0" w:color="auto"/>
            <w:right w:val="none" w:sz="0" w:space="0" w:color="auto"/>
          </w:divBdr>
        </w:div>
        <w:div w:id="118960738">
          <w:marLeft w:val="1800"/>
          <w:marRight w:val="0"/>
          <w:marTop w:val="115"/>
          <w:marBottom w:val="0"/>
          <w:divBdr>
            <w:top w:val="none" w:sz="0" w:space="0" w:color="auto"/>
            <w:left w:val="none" w:sz="0" w:space="0" w:color="auto"/>
            <w:bottom w:val="none" w:sz="0" w:space="0" w:color="auto"/>
            <w:right w:val="none" w:sz="0" w:space="0" w:color="auto"/>
          </w:divBdr>
        </w:div>
      </w:divsChild>
    </w:div>
    <w:div w:id="182466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1474E-4806-433E-A2AC-6659961D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1122</Words>
  <Characters>6175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Aurélien Schuller</dc:creator>
  <cp:lastModifiedBy>Aurélien Schuller</cp:lastModifiedBy>
  <cp:revision>27</cp:revision>
  <dcterms:created xsi:type="dcterms:W3CDTF">2013-04-22T15:54:00Z</dcterms:created>
  <dcterms:modified xsi:type="dcterms:W3CDTF">2013-04-24T20:48:00Z</dcterms:modified>
</cp:coreProperties>
</file>