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F5" w:rsidRDefault="00585D30" w:rsidP="00BF41A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 w:bidi="ar-SA"/>
        </w:rPr>
        <w:drawing>
          <wp:inline distT="0" distB="0" distL="0" distR="0">
            <wp:extent cx="6120130" cy="2280191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F5" w:rsidRDefault="00B768F5" w:rsidP="00BF41A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</w:rPr>
      </w:pPr>
    </w:p>
    <w:p w:rsidR="00585D30" w:rsidRDefault="00585D30" w:rsidP="00BF41A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</w:rPr>
      </w:pPr>
    </w:p>
    <w:p w:rsidR="00B768F5" w:rsidRDefault="00B768F5" w:rsidP="00BF41A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Auteurs :</w:t>
      </w:r>
    </w:p>
    <w:p w:rsidR="00B768F5" w:rsidRPr="003E7F86" w:rsidRDefault="00B768F5" w:rsidP="00B768F5">
      <w:pPr>
        <w:pStyle w:val="Paragraphedeliste"/>
        <w:widowControl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</w:rPr>
      </w:pPr>
      <w:r w:rsidRPr="003E7F86">
        <w:rPr>
          <w:rFonts w:asciiTheme="minorHAnsi" w:hAnsiTheme="minorHAnsi" w:cstheme="minorHAnsi"/>
          <w:b/>
        </w:rPr>
        <w:t xml:space="preserve">Christian de </w:t>
      </w:r>
      <w:proofErr w:type="spellStart"/>
      <w:r w:rsidRPr="003E7F86">
        <w:rPr>
          <w:rFonts w:asciiTheme="minorHAnsi" w:hAnsiTheme="minorHAnsi" w:cstheme="minorHAnsi"/>
          <w:b/>
        </w:rPr>
        <w:t>Perthuis</w:t>
      </w:r>
      <w:proofErr w:type="spellEnd"/>
    </w:p>
    <w:p w:rsidR="00B768F5" w:rsidRPr="003E7F86" w:rsidRDefault="00B768F5" w:rsidP="00B768F5">
      <w:pPr>
        <w:pStyle w:val="Paragraphedeliste"/>
        <w:widowControl/>
        <w:numPr>
          <w:ilvl w:val="1"/>
          <w:numId w:val="1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</w:rPr>
      </w:pPr>
      <w:r w:rsidRPr="003E7F86">
        <w:rPr>
          <w:rFonts w:asciiTheme="minorHAnsi" w:hAnsiTheme="minorHAnsi" w:cstheme="minorHAnsi"/>
        </w:rPr>
        <w:t>Professeur d’économie à l’Université Paris-Dauphine et Président du Conseil Scient</w:t>
      </w:r>
      <w:r w:rsidRPr="003E7F86">
        <w:rPr>
          <w:rFonts w:asciiTheme="minorHAnsi" w:hAnsiTheme="minorHAnsi" w:cstheme="minorHAnsi"/>
        </w:rPr>
        <w:t>i</w:t>
      </w:r>
      <w:r w:rsidRPr="003E7F86">
        <w:rPr>
          <w:rFonts w:asciiTheme="minorHAnsi" w:hAnsiTheme="minorHAnsi" w:cstheme="minorHAnsi"/>
        </w:rPr>
        <w:t>fique de la Chaire Economie du Climat</w:t>
      </w:r>
    </w:p>
    <w:p w:rsidR="003E7F86" w:rsidRPr="003E7F86" w:rsidRDefault="003E7F86" w:rsidP="003E7F86">
      <w:pPr>
        <w:pStyle w:val="Paragraphedeliste"/>
        <w:widowControl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</w:rPr>
      </w:pPr>
      <w:r w:rsidRPr="003E7F86">
        <w:rPr>
          <w:rFonts w:asciiTheme="minorHAnsi" w:hAnsiTheme="minorHAnsi" w:cstheme="minorHAnsi"/>
          <w:b/>
        </w:rPr>
        <w:t xml:space="preserve">Raphaël </w:t>
      </w:r>
      <w:proofErr w:type="spellStart"/>
      <w:r w:rsidRPr="003E7F86">
        <w:rPr>
          <w:rFonts w:asciiTheme="minorHAnsi" w:hAnsiTheme="minorHAnsi" w:cstheme="minorHAnsi"/>
          <w:b/>
        </w:rPr>
        <w:t>Trotignon</w:t>
      </w:r>
      <w:proofErr w:type="spellEnd"/>
    </w:p>
    <w:p w:rsidR="003E7F86" w:rsidRPr="003E7F86" w:rsidRDefault="003E7F86" w:rsidP="003E7F86">
      <w:pPr>
        <w:pStyle w:val="Paragraphedeliste"/>
        <w:widowControl/>
        <w:numPr>
          <w:ilvl w:val="1"/>
          <w:numId w:val="1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</w:rPr>
      </w:pPr>
      <w:r w:rsidRPr="003E7F86">
        <w:rPr>
          <w:rFonts w:asciiTheme="minorHAnsi" w:hAnsiTheme="minorHAnsi" w:cstheme="minorHAnsi"/>
        </w:rPr>
        <w:t>Doctorant en économie et chercheur à la Chaire Economie du Climat</w:t>
      </w:r>
    </w:p>
    <w:p w:rsidR="003E7F86" w:rsidRDefault="003E7F86" w:rsidP="003E7F86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</w:rPr>
      </w:pPr>
    </w:p>
    <w:p w:rsidR="003E7F86" w:rsidRPr="00124CC1" w:rsidRDefault="003E7F86" w:rsidP="00124CC1">
      <w:pPr>
        <w:widowControl/>
        <w:suppressAutoHyphens w:val="0"/>
        <w:autoSpaceDE w:val="0"/>
        <w:adjustRightInd w:val="0"/>
        <w:jc w:val="right"/>
        <w:textAlignment w:val="auto"/>
        <w:rPr>
          <w:rFonts w:asciiTheme="minorHAnsi" w:hAnsiTheme="minorHAnsi" w:cstheme="minorHAnsi"/>
          <w:b/>
          <w:color w:val="0070C0"/>
        </w:rPr>
      </w:pPr>
      <w:r w:rsidRPr="00124CC1">
        <w:rPr>
          <w:rFonts w:asciiTheme="minorHAnsi" w:hAnsiTheme="minorHAnsi" w:cstheme="minorHAnsi" w:hint="eastAsia"/>
          <w:b/>
          <w:color w:val="0070C0"/>
        </w:rPr>
        <w:t>12-03-14-Cahier-ID-n14-De-Perthuis-Trotignon.pdf</w:t>
      </w:r>
    </w:p>
    <w:p w:rsidR="003E7F86" w:rsidRPr="005D4657" w:rsidRDefault="003E7F86" w:rsidP="003E7F86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</w:rPr>
      </w:pPr>
    </w:p>
    <w:p w:rsidR="00585D30" w:rsidRDefault="00585D30" w:rsidP="003E7F86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b/>
        </w:rPr>
      </w:pPr>
    </w:p>
    <w:p w:rsidR="003E7F86" w:rsidRPr="005D4657" w:rsidRDefault="003E7F86" w:rsidP="003E7F86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</w:rPr>
      </w:pPr>
      <w:r w:rsidRPr="005D4657">
        <w:rPr>
          <w:rFonts w:ascii="Calibri" w:hAnsi="Calibri" w:cs="Calibri"/>
          <w:b/>
        </w:rPr>
        <w:t>Synthèse</w:t>
      </w:r>
      <w:r w:rsidR="004237B8" w:rsidRPr="005D4657">
        <w:rPr>
          <w:rFonts w:ascii="Calibri" w:hAnsi="Calibri" w:cs="Calibri"/>
        </w:rPr>
        <w:t> :</w:t>
      </w:r>
    </w:p>
    <w:p w:rsidR="00542A53" w:rsidRDefault="00C05817" w:rsidP="00124CC1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  <w:r w:rsidRPr="005D4657">
        <w:rPr>
          <w:rFonts w:ascii="Calibri" w:hAnsi="Calibri" w:cs="Calibri"/>
        </w:rPr>
        <w:t>Les auteurs de ce document explicite</w:t>
      </w:r>
      <w:r w:rsidR="005D4657" w:rsidRPr="005D4657">
        <w:rPr>
          <w:rFonts w:ascii="Calibri" w:hAnsi="Calibri" w:cs="Calibri"/>
        </w:rPr>
        <w:t>nt</w:t>
      </w:r>
      <w:r w:rsidRPr="005D4657">
        <w:rPr>
          <w:rFonts w:ascii="Calibri" w:hAnsi="Calibri" w:cs="Calibri"/>
        </w:rPr>
        <w:t xml:space="preserve"> quelques éléments de contexte expliquant les raisons i</w:t>
      </w:r>
      <w:r w:rsidRPr="005D4657">
        <w:rPr>
          <w:rFonts w:ascii="Calibri" w:hAnsi="Calibri" w:cs="Calibri"/>
        </w:rPr>
        <w:t>n</w:t>
      </w:r>
      <w:r w:rsidRPr="005D4657">
        <w:rPr>
          <w:rFonts w:ascii="Calibri" w:hAnsi="Calibri" w:cs="Calibri"/>
        </w:rPr>
        <w:t>voquées pour justifier une intervention des pouvoirs publics européens destinée à faire remonter le pri</w:t>
      </w:r>
      <w:r w:rsidR="005D4657">
        <w:rPr>
          <w:rFonts w:ascii="Calibri" w:hAnsi="Calibri" w:cs="Calibri"/>
        </w:rPr>
        <w:t xml:space="preserve">x du quota de CO2 sur le marché : </w:t>
      </w:r>
      <w:proofErr w:type="spellStart"/>
      <w:r w:rsidR="005D4657">
        <w:rPr>
          <w:rFonts w:ascii="Calibri" w:hAnsi="Calibri" w:cs="Calibri"/>
        </w:rPr>
        <w:t>price</w:t>
      </w:r>
      <w:proofErr w:type="spellEnd"/>
      <w:r w:rsidR="005D4657">
        <w:rPr>
          <w:rFonts w:ascii="Calibri" w:hAnsi="Calibri" w:cs="Calibri"/>
        </w:rPr>
        <w:t xml:space="preserve"> </w:t>
      </w:r>
      <w:proofErr w:type="spellStart"/>
      <w:r w:rsidR="005D4657">
        <w:rPr>
          <w:rFonts w:ascii="Calibri" w:hAnsi="Calibri" w:cs="Calibri"/>
        </w:rPr>
        <w:t>floor</w:t>
      </w:r>
      <w:proofErr w:type="spellEnd"/>
      <w:r w:rsidR="005D4657">
        <w:rPr>
          <w:rFonts w:ascii="Calibri" w:hAnsi="Calibri" w:cs="Calibri"/>
        </w:rPr>
        <w:t xml:space="preserve"> / set </w:t>
      </w:r>
      <w:proofErr w:type="spellStart"/>
      <w:r w:rsidR="005D4657">
        <w:rPr>
          <w:rFonts w:ascii="Calibri" w:hAnsi="Calibri" w:cs="Calibri"/>
        </w:rPr>
        <w:t>aside</w:t>
      </w:r>
      <w:proofErr w:type="spellEnd"/>
      <w:r w:rsidR="005D4657">
        <w:rPr>
          <w:rFonts w:ascii="Calibri" w:hAnsi="Calibri" w:cs="Calibri"/>
        </w:rPr>
        <w:t xml:space="preserve"> / long </w:t>
      </w:r>
      <w:proofErr w:type="spellStart"/>
      <w:r w:rsidR="005D4657">
        <w:rPr>
          <w:rFonts w:ascii="Calibri" w:hAnsi="Calibri" w:cs="Calibri"/>
        </w:rPr>
        <w:t>term</w:t>
      </w:r>
      <w:proofErr w:type="spellEnd"/>
      <w:r w:rsidR="005D4657">
        <w:rPr>
          <w:rFonts w:ascii="Calibri" w:hAnsi="Calibri" w:cs="Calibri"/>
        </w:rPr>
        <w:t xml:space="preserve"> </w:t>
      </w:r>
      <w:proofErr w:type="spellStart"/>
      <w:r w:rsidR="005D4657">
        <w:rPr>
          <w:rFonts w:ascii="Calibri" w:hAnsi="Calibri" w:cs="Calibri"/>
        </w:rPr>
        <w:t>constraints</w:t>
      </w:r>
      <w:proofErr w:type="spellEnd"/>
      <w:r w:rsidR="005D4657">
        <w:rPr>
          <w:rFonts w:ascii="Calibri" w:hAnsi="Calibri" w:cs="Calibri"/>
        </w:rPr>
        <w:t xml:space="preserve">. </w:t>
      </w:r>
      <w:r w:rsidR="005D4657" w:rsidRPr="005D4657">
        <w:rPr>
          <w:rFonts w:ascii="Calibri" w:hAnsi="Calibri" w:cs="Calibri"/>
        </w:rPr>
        <w:t xml:space="preserve"> </w:t>
      </w:r>
      <w:r w:rsidR="00542A53" w:rsidRPr="005D4657">
        <w:rPr>
          <w:rFonts w:ascii="Calibri" w:hAnsi="Calibri" w:cs="Calibri"/>
        </w:rPr>
        <w:t>Les évalu</w:t>
      </w:r>
      <w:r w:rsidR="00542A53" w:rsidRPr="005D4657">
        <w:rPr>
          <w:rFonts w:ascii="Calibri" w:hAnsi="Calibri" w:cs="Calibri"/>
        </w:rPr>
        <w:t>a</w:t>
      </w:r>
      <w:r w:rsidR="00542A53" w:rsidRPr="005D4657">
        <w:rPr>
          <w:rFonts w:ascii="Calibri" w:hAnsi="Calibri" w:cs="Calibri"/>
        </w:rPr>
        <w:t xml:space="preserve">tions des prix sont </w:t>
      </w:r>
      <w:r w:rsidR="00CE1F4D" w:rsidRPr="005D4657">
        <w:rPr>
          <w:rFonts w:ascii="Calibri" w:hAnsi="Calibri" w:cs="Calibri"/>
        </w:rPr>
        <w:t>modélisées</w:t>
      </w:r>
      <w:r w:rsidR="00542A53" w:rsidRPr="005D4657">
        <w:rPr>
          <w:rFonts w:ascii="Calibri" w:hAnsi="Calibri" w:cs="Calibri"/>
        </w:rPr>
        <w:t xml:space="preserve"> à travers un outil développé par  qui simule le mécanisme de form</w:t>
      </w:r>
      <w:r w:rsidR="00542A53" w:rsidRPr="005D4657">
        <w:rPr>
          <w:rFonts w:ascii="Calibri" w:hAnsi="Calibri" w:cs="Calibri"/>
        </w:rPr>
        <w:t>a</w:t>
      </w:r>
      <w:r w:rsidR="00542A53" w:rsidRPr="005D4657">
        <w:rPr>
          <w:rFonts w:ascii="Calibri" w:hAnsi="Calibri" w:cs="Calibri"/>
        </w:rPr>
        <w:t>tion du prix et des échanges de quotas sur le marché carbone européen</w:t>
      </w:r>
      <w:r w:rsidR="005D4657" w:rsidRPr="005D4657">
        <w:rPr>
          <w:rFonts w:ascii="Calibri" w:hAnsi="Calibri" w:cs="Calibri"/>
        </w:rPr>
        <w:t>.</w:t>
      </w:r>
      <w:r w:rsidR="00C30686">
        <w:rPr>
          <w:rFonts w:ascii="Calibri" w:hAnsi="Calibri" w:cs="Calibri"/>
        </w:rPr>
        <w:t xml:space="preserve"> La dernière partie met en avant la nécessité de </w:t>
      </w:r>
      <w:r w:rsidR="000A08F9">
        <w:rPr>
          <w:rFonts w:ascii="Calibri" w:hAnsi="Calibri" w:cs="Calibri"/>
        </w:rPr>
        <w:t>créer une organisation</w:t>
      </w:r>
      <w:r w:rsidR="000878AD">
        <w:rPr>
          <w:rFonts w:ascii="Calibri" w:hAnsi="Calibri" w:cs="Calibri"/>
        </w:rPr>
        <w:t xml:space="preserve"> pour gérer dynamiquement l’offre de quota et mai</w:t>
      </w:r>
      <w:r w:rsidR="000878AD">
        <w:rPr>
          <w:rFonts w:ascii="Calibri" w:hAnsi="Calibri" w:cs="Calibri"/>
        </w:rPr>
        <w:t>n</w:t>
      </w:r>
      <w:r w:rsidR="000878AD">
        <w:rPr>
          <w:rFonts w:ascii="Calibri" w:hAnsi="Calibri" w:cs="Calibri"/>
        </w:rPr>
        <w:t>tenir un prix attractif en faisant un parallèle avec la monnaie et les banques centrales (surplus de monnaie émise / inflation ≈  surplus de qu</w:t>
      </w:r>
      <w:r w:rsidR="000878AD">
        <w:rPr>
          <w:rFonts w:ascii="Calibri" w:hAnsi="Calibri" w:cs="Calibri"/>
        </w:rPr>
        <w:t>o</w:t>
      </w:r>
      <w:r w:rsidR="000878AD">
        <w:rPr>
          <w:rFonts w:ascii="Calibri" w:hAnsi="Calibri" w:cs="Calibri"/>
        </w:rPr>
        <w:t>tas / baisse du prix du quota)</w:t>
      </w:r>
    </w:p>
    <w:p w:rsidR="00585D30" w:rsidRPr="005D4657" w:rsidRDefault="00585D30" w:rsidP="00124CC1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</w:p>
    <w:p w:rsidR="00C05817" w:rsidRPr="005D4657" w:rsidRDefault="00C05817" w:rsidP="00124CC1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</w:p>
    <w:p w:rsidR="00C05817" w:rsidRPr="005D4657" w:rsidRDefault="00C05817" w:rsidP="00124CC1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b/>
        </w:rPr>
      </w:pPr>
      <w:r w:rsidRPr="005D4657">
        <w:rPr>
          <w:rFonts w:ascii="Calibri" w:hAnsi="Calibri" w:cs="Calibri"/>
          <w:b/>
        </w:rPr>
        <w:t xml:space="preserve">Transition vers la phase III : </w:t>
      </w:r>
      <w:r w:rsidR="005D4657" w:rsidRPr="005D4657">
        <w:rPr>
          <w:rFonts w:ascii="Calibri" w:hAnsi="Calibri" w:cs="Calibri"/>
          <w:b/>
        </w:rPr>
        <w:t>vers un prix faible sans action complémentaire</w:t>
      </w:r>
    </w:p>
    <w:p w:rsidR="00C05817" w:rsidRPr="005D4657" w:rsidRDefault="00C05817" w:rsidP="00124CC1">
      <w:pPr>
        <w:pStyle w:val="Paragraphedeliste"/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  <w:r w:rsidRPr="005D4657">
        <w:rPr>
          <w:rFonts w:ascii="Calibri" w:hAnsi="Calibri" w:cs="Calibri"/>
        </w:rPr>
        <w:t xml:space="preserve">Si l’hypothèse de conversion de </w:t>
      </w:r>
      <w:proofErr w:type="spellStart"/>
      <w:r w:rsidRPr="005D4657">
        <w:rPr>
          <w:rFonts w:ascii="Calibri" w:hAnsi="Calibri" w:cs="Calibri"/>
        </w:rPr>
        <w:t>banking</w:t>
      </w:r>
      <w:proofErr w:type="spellEnd"/>
      <w:r w:rsidRPr="005D4657">
        <w:rPr>
          <w:rFonts w:ascii="Calibri" w:hAnsi="Calibri" w:cs="Calibri"/>
        </w:rPr>
        <w:t xml:space="preserve"> passif (conservation de quotas attribués gratuit</w:t>
      </w:r>
      <w:r w:rsidRPr="005D4657">
        <w:rPr>
          <w:rFonts w:ascii="Calibri" w:hAnsi="Calibri" w:cs="Calibri"/>
        </w:rPr>
        <w:t>e</w:t>
      </w:r>
      <w:r w:rsidRPr="005D4657">
        <w:rPr>
          <w:rFonts w:ascii="Calibri" w:hAnsi="Calibri" w:cs="Calibri"/>
        </w:rPr>
        <w:t xml:space="preserve">ment dans les premières phases) en </w:t>
      </w:r>
      <w:proofErr w:type="spellStart"/>
      <w:r w:rsidRPr="005D4657">
        <w:rPr>
          <w:rFonts w:ascii="Calibri" w:hAnsi="Calibri" w:cs="Calibri"/>
        </w:rPr>
        <w:t>banking</w:t>
      </w:r>
      <w:proofErr w:type="spellEnd"/>
      <w:r w:rsidRPr="005D4657">
        <w:rPr>
          <w:rFonts w:ascii="Calibri" w:hAnsi="Calibri" w:cs="Calibri"/>
        </w:rPr>
        <w:t xml:space="preserve"> actif (achat dans une optique de précaution) ne se vérifie pas, la faiblesse du prix du quota sera prolongée.</w:t>
      </w:r>
    </w:p>
    <w:p w:rsidR="00C05817" w:rsidRPr="005D4657" w:rsidRDefault="00C05817" w:rsidP="00124CC1">
      <w:pPr>
        <w:pStyle w:val="Paragraphedeliste"/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  <w:r w:rsidRPr="005D4657">
        <w:rPr>
          <w:rFonts w:ascii="Calibri" w:hAnsi="Calibri" w:cs="Calibri"/>
        </w:rPr>
        <w:t xml:space="preserve">Dans le modèle présenté par les auteurs, les projections </w:t>
      </w:r>
      <w:r w:rsidR="000D73C0" w:rsidRPr="005D4657">
        <w:rPr>
          <w:rFonts w:ascii="Calibri" w:hAnsi="Calibri" w:cs="Calibri"/>
        </w:rPr>
        <w:t>de prix sont très dépendantes de la croissance économique avec une vision 2020 passant de 22€/tCO2 à 12€/tCO2 pour des h</w:t>
      </w:r>
      <w:r w:rsidR="000D73C0" w:rsidRPr="005D4657">
        <w:rPr>
          <w:rFonts w:ascii="Calibri" w:hAnsi="Calibri" w:cs="Calibri"/>
        </w:rPr>
        <w:t>y</w:t>
      </w:r>
      <w:r w:rsidR="000D73C0" w:rsidRPr="005D4657">
        <w:rPr>
          <w:rFonts w:ascii="Calibri" w:hAnsi="Calibri" w:cs="Calibri"/>
        </w:rPr>
        <w:t>pothèses de croissance du PIB variant de 3%/an à 0.5%/an</w:t>
      </w:r>
      <w:r w:rsidR="00585D30">
        <w:rPr>
          <w:rFonts w:ascii="Calibri" w:hAnsi="Calibri" w:cs="Calibri"/>
        </w:rPr>
        <w:t>.</w:t>
      </w:r>
    </w:p>
    <w:p w:rsidR="000D73C0" w:rsidRPr="005D4657" w:rsidRDefault="000D73C0" w:rsidP="00124CC1">
      <w:pPr>
        <w:pStyle w:val="Paragraphedeliste"/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  <w:r w:rsidRPr="005D4657">
        <w:rPr>
          <w:rFonts w:ascii="Calibri" w:hAnsi="Calibri" w:cs="Calibri"/>
        </w:rPr>
        <w:t>La superposition avec d’autres instruments de politique public (</w:t>
      </w:r>
      <w:r w:rsidR="00BD48D1" w:rsidRPr="005D4657">
        <w:rPr>
          <w:rFonts w:ascii="Calibri" w:hAnsi="Calibri" w:cs="Calibri"/>
        </w:rPr>
        <w:t>incitations au développ</w:t>
      </w:r>
      <w:r w:rsidR="00BD48D1" w:rsidRPr="005D4657">
        <w:rPr>
          <w:rFonts w:ascii="Calibri" w:hAnsi="Calibri" w:cs="Calibri"/>
        </w:rPr>
        <w:t>e</w:t>
      </w:r>
      <w:r w:rsidR="00BD48D1" w:rsidRPr="005D4657">
        <w:rPr>
          <w:rFonts w:ascii="Calibri" w:hAnsi="Calibri" w:cs="Calibri"/>
        </w:rPr>
        <w:t xml:space="preserve">ment des énergies renouvelables / subvention pour l’efficacité énergétique) </w:t>
      </w:r>
      <w:r w:rsidRPr="005D4657">
        <w:rPr>
          <w:rFonts w:ascii="Calibri" w:hAnsi="Calibri" w:cs="Calibri"/>
        </w:rPr>
        <w:t>peut fortement influer l</w:t>
      </w:r>
      <w:r w:rsidR="00BD48D1" w:rsidRPr="005D4657">
        <w:rPr>
          <w:rFonts w:ascii="Calibri" w:hAnsi="Calibri" w:cs="Calibri"/>
        </w:rPr>
        <w:t>e cours : s</w:t>
      </w:r>
      <w:r w:rsidRPr="005D4657">
        <w:rPr>
          <w:rFonts w:ascii="Calibri" w:hAnsi="Calibri" w:cs="Calibri"/>
        </w:rPr>
        <w:t>i on veut éviter que le système des quotas devienne un outil résiduel, il convien</w:t>
      </w:r>
      <w:r w:rsidR="00BD48D1" w:rsidRPr="005D4657">
        <w:rPr>
          <w:rFonts w:ascii="Calibri" w:hAnsi="Calibri" w:cs="Calibri"/>
        </w:rPr>
        <w:t>t</w:t>
      </w:r>
      <w:r w:rsidRPr="005D4657">
        <w:rPr>
          <w:rFonts w:ascii="Calibri" w:hAnsi="Calibri" w:cs="Calibri"/>
        </w:rPr>
        <w:t xml:space="preserve"> d’ajuster les plafonds de quotas en fonction des effets attendus ou c</w:t>
      </w:r>
      <w:r w:rsidR="00BD48D1" w:rsidRPr="005D4657">
        <w:rPr>
          <w:rFonts w:ascii="Calibri" w:hAnsi="Calibri" w:cs="Calibri"/>
        </w:rPr>
        <w:t>onstatés de ces autres instruments.</w:t>
      </w:r>
    </w:p>
    <w:p w:rsidR="00BD48D1" w:rsidRDefault="00BD48D1" w:rsidP="00124CC1">
      <w:pPr>
        <w:widowControl/>
        <w:suppressAutoHyphens w:val="0"/>
        <w:autoSpaceDE w:val="0"/>
        <w:adjustRightInd w:val="0"/>
        <w:jc w:val="both"/>
        <w:textAlignment w:val="auto"/>
      </w:pPr>
    </w:p>
    <w:p w:rsidR="00BD48D1" w:rsidRPr="000C6ABE" w:rsidRDefault="00BD48D1" w:rsidP="00124CC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</w:rPr>
      </w:pPr>
    </w:p>
    <w:p w:rsidR="00BD48D1" w:rsidRPr="000C6ABE" w:rsidRDefault="00542A53" w:rsidP="00124CC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</w:rPr>
      </w:pPr>
      <w:r w:rsidRPr="000C6ABE">
        <w:rPr>
          <w:rFonts w:asciiTheme="minorHAnsi" w:hAnsiTheme="minorHAnsi" w:cstheme="minorHAnsi"/>
          <w:b/>
        </w:rPr>
        <w:lastRenderedPageBreak/>
        <w:t>Propositions d’interventions sur le marché</w:t>
      </w:r>
      <w:r w:rsidR="000C6ABE" w:rsidRPr="000C6ABE">
        <w:rPr>
          <w:rFonts w:asciiTheme="minorHAnsi" w:hAnsiTheme="minorHAnsi" w:cstheme="minorHAnsi"/>
          <w:b/>
        </w:rPr>
        <w:t xml:space="preserve"> en Phase III</w:t>
      </w:r>
    </w:p>
    <w:p w:rsidR="00542A53" w:rsidRPr="000C6ABE" w:rsidRDefault="00542A53" w:rsidP="00124CC1">
      <w:pPr>
        <w:pStyle w:val="Paragraphedeliste"/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</w:rPr>
      </w:pPr>
      <w:r w:rsidRPr="000C6ABE">
        <w:rPr>
          <w:rFonts w:asciiTheme="minorHAnsi" w:hAnsiTheme="minorHAnsi" w:cstheme="minorHAnsi"/>
        </w:rPr>
        <w:t>« Mise en place d’un prix de réserve qui jouerait le rôle de prix plancher »</w:t>
      </w:r>
      <w:r w:rsidR="00557410" w:rsidRPr="000C6ABE">
        <w:rPr>
          <w:rFonts w:asciiTheme="minorHAnsi" w:hAnsiTheme="minorHAnsi" w:cstheme="minorHAnsi"/>
        </w:rPr>
        <w:t> </w:t>
      </w:r>
      <w:r w:rsidR="004F4609" w:rsidRPr="000C6ABE">
        <w:rPr>
          <w:rFonts w:asciiTheme="minorHAnsi" w:hAnsiTheme="minorHAnsi" w:cstheme="minorHAnsi"/>
        </w:rPr>
        <w:t xml:space="preserve"> p12-13</w:t>
      </w:r>
      <w:r w:rsidR="00557410" w:rsidRPr="000C6ABE">
        <w:rPr>
          <w:rFonts w:asciiTheme="minorHAnsi" w:hAnsiTheme="minorHAnsi" w:cstheme="minorHAnsi"/>
        </w:rPr>
        <w:t xml:space="preserve">: </w:t>
      </w:r>
      <w:r w:rsidR="004F4609" w:rsidRPr="000C6ABE">
        <w:rPr>
          <w:rFonts w:asciiTheme="minorHAnsi" w:hAnsiTheme="minorHAnsi" w:cstheme="minorHAnsi"/>
        </w:rPr>
        <w:t xml:space="preserve">utiliser le système d’enchères pour agir directement sur le prix d’équilibre. Les effets majeurs </w:t>
      </w:r>
      <w:r w:rsidR="00804EFD" w:rsidRPr="000C6ABE">
        <w:rPr>
          <w:rFonts w:asciiTheme="minorHAnsi" w:hAnsiTheme="minorHAnsi" w:cstheme="minorHAnsi"/>
        </w:rPr>
        <w:t>(r</w:t>
      </w:r>
      <w:r w:rsidR="00804EFD" w:rsidRPr="000C6ABE">
        <w:rPr>
          <w:rFonts w:asciiTheme="minorHAnsi" w:hAnsiTheme="minorHAnsi" w:cstheme="minorHAnsi"/>
        </w:rPr>
        <w:t>é</w:t>
      </w:r>
      <w:r w:rsidR="00804EFD" w:rsidRPr="000C6ABE">
        <w:rPr>
          <w:rFonts w:asciiTheme="minorHAnsi" w:hAnsiTheme="minorHAnsi" w:cstheme="minorHAnsi"/>
        </w:rPr>
        <w:t xml:space="preserve">sultat avec une hypothèse de 20€/tCO2) </w:t>
      </w:r>
      <w:r w:rsidR="004F4609" w:rsidRPr="000C6ABE">
        <w:rPr>
          <w:rFonts w:asciiTheme="minorHAnsi" w:hAnsiTheme="minorHAnsi" w:cstheme="minorHAnsi"/>
        </w:rPr>
        <w:t xml:space="preserve">sont la baisse des émissions de CO2 </w:t>
      </w:r>
      <w:r w:rsidR="00804EFD" w:rsidRPr="000C6ABE">
        <w:rPr>
          <w:rFonts w:asciiTheme="minorHAnsi" w:hAnsiTheme="minorHAnsi" w:cstheme="minorHAnsi"/>
        </w:rPr>
        <w:t>sous le pl</w:t>
      </w:r>
      <w:r w:rsidR="00804EFD" w:rsidRPr="000C6ABE">
        <w:rPr>
          <w:rFonts w:asciiTheme="minorHAnsi" w:hAnsiTheme="minorHAnsi" w:cstheme="minorHAnsi"/>
        </w:rPr>
        <w:t>a</w:t>
      </w:r>
      <w:r w:rsidR="00804EFD" w:rsidRPr="000C6ABE">
        <w:rPr>
          <w:rFonts w:asciiTheme="minorHAnsi" w:hAnsiTheme="minorHAnsi" w:cstheme="minorHAnsi"/>
        </w:rPr>
        <w:t>fond de quotas</w:t>
      </w:r>
      <w:r w:rsidR="00124CC1">
        <w:rPr>
          <w:rFonts w:asciiTheme="minorHAnsi" w:hAnsiTheme="minorHAnsi" w:cstheme="minorHAnsi"/>
        </w:rPr>
        <w:t xml:space="preserve"> et une visibilité prix </w:t>
      </w:r>
      <w:r w:rsidR="007F1709">
        <w:rPr>
          <w:rFonts w:asciiTheme="minorHAnsi" w:hAnsiTheme="minorHAnsi" w:cstheme="minorHAnsi"/>
        </w:rPr>
        <w:t>court terme aux acteurs</w:t>
      </w:r>
      <w:r w:rsidR="00124CC1">
        <w:rPr>
          <w:rFonts w:asciiTheme="minorHAnsi" w:hAnsiTheme="minorHAnsi" w:cstheme="minorHAnsi"/>
        </w:rPr>
        <w:t xml:space="preserve"> mais une </w:t>
      </w:r>
      <w:r w:rsidR="00124CC1" w:rsidRPr="000C6ABE">
        <w:rPr>
          <w:rFonts w:asciiTheme="minorHAnsi" w:hAnsiTheme="minorHAnsi" w:cstheme="minorHAnsi"/>
        </w:rPr>
        <w:t xml:space="preserve">accumulation de quotas </w:t>
      </w:r>
      <w:r w:rsidR="00124CC1">
        <w:rPr>
          <w:rFonts w:asciiTheme="minorHAnsi" w:hAnsiTheme="minorHAnsi" w:cstheme="minorHAnsi"/>
        </w:rPr>
        <w:t>invendus et une incertitude prix majeure à long terme dont les effets pourraient être contrés par une adaptation du plafond</w:t>
      </w:r>
      <w:r w:rsidR="00585D30">
        <w:rPr>
          <w:rFonts w:asciiTheme="minorHAnsi" w:hAnsiTheme="minorHAnsi" w:cstheme="minorHAnsi"/>
        </w:rPr>
        <w:t>.</w:t>
      </w:r>
    </w:p>
    <w:p w:rsidR="00542A53" w:rsidRPr="000C6ABE" w:rsidRDefault="00542A53" w:rsidP="00124CC1">
      <w:pPr>
        <w:pStyle w:val="Paragraphedeliste"/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</w:rPr>
      </w:pPr>
      <w:r w:rsidRPr="000C6ABE">
        <w:rPr>
          <w:rFonts w:asciiTheme="minorHAnsi" w:hAnsiTheme="minorHAnsi" w:cstheme="minorHAnsi"/>
        </w:rPr>
        <w:t xml:space="preserve">Set </w:t>
      </w:r>
      <w:proofErr w:type="spellStart"/>
      <w:r w:rsidRPr="000C6ABE">
        <w:rPr>
          <w:rFonts w:asciiTheme="minorHAnsi" w:hAnsiTheme="minorHAnsi" w:cstheme="minorHAnsi"/>
        </w:rPr>
        <w:t>aside</w:t>
      </w:r>
      <w:proofErr w:type="spellEnd"/>
      <w:r w:rsidR="00124CC1">
        <w:rPr>
          <w:rFonts w:asciiTheme="minorHAnsi" w:hAnsiTheme="minorHAnsi" w:cstheme="minorHAnsi"/>
        </w:rPr>
        <w:t xml:space="preserve"> </w:t>
      </w:r>
      <w:r w:rsidR="00804EFD" w:rsidRPr="000C6ABE">
        <w:rPr>
          <w:rFonts w:asciiTheme="minorHAnsi" w:hAnsiTheme="minorHAnsi" w:cstheme="minorHAnsi"/>
        </w:rPr>
        <w:t>(</w:t>
      </w:r>
      <w:r w:rsidRPr="000C6ABE">
        <w:rPr>
          <w:rFonts w:asciiTheme="minorHAnsi" w:hAnsiTheme="minorHAnsi" w:cstheme="minorHAnsi"/>
        </w:rPr>
        <w:t>répartir différemment dans le temps la quantité de quotas disponibles</w:t>
      </w:r>
      <w:r w:rsidR="00804EFD" w:rsidRPr="000C6ABE">
        <w:rPr>
          <w:rFonts w:asciiTheme="minorHAnsi" w:hAnsiTheme="minorHAnsi" w:cstheme="minorHAnsi"/>
        </w:rPr>
        <w:t>). Cette s</w:t>
      </w:r>
      <w:r w:rsidR="00804EFD" w:rsidRPr="000C6ABE">
        <w:rPr>
          <w:rFonts w:asciiTheme="minorHAnsi" w:hAnsiTheme="minorHAnsi" w:cstheme="minorHAnsi"/>
        </w:rPr>
        <w:t>o</w:t>
      </w:r>
      <w:r w:rsidR="00804EFD" w:rsidRPr="000C6ABE">
        <w:rPr>
          <w:rFonts w:asciiTheme="minorHAnsi" w:hAnsiTheme="minorHAnsi" w:cstheme="minorHAnsi"/>
        </w:rPr>
        <w:t>lu</w:t>
      </w:r>
      <w:r w:rsidR="007F1709">
        <w:rPr>
          <w:rFonts w:asciiTheme="minorHAnsi" w:hAnsiTheme="minorHAnsi" w:cstheme="minorHAnsi"/>
        </w:rPr>
        <w:t xml:space="preserve">tion est relativement proche </w:t>
      </w:r>
      <w:r w:rsidR="00124CC1">
        <w:rPr>
          <w:rFonts w:asciiTheme="minorHAnsi" w:hAnsiTheme="minorHAnsi" w:cstheme="minorHAnsi"/>
        </w:rPr>
        <w:t>dans les conséquences</w:t>
      </w:r>
      <w:r w:rsidR="007F1709">
        <w:rPr>
          <w:rFonts w:asciiTheme="minorHAnsi" w:hAnsiTheme="minorHAnsi" w:cstheme="minorHAnsi"/>
        </w:rPr>
        <w:t xml:space="preserve"> du prix de réserve</w:t>
      </w:r>
      <w:r w:rsidR="000878AD">
        <w:rPr>
          <w:rFonts w:asciiTheme="minorHAnsi" w:hAnsiTheme="minorHAnsi" w:cstheme="minorHAnsi"/>
        </w:rPr>
        <w:t xml:space="preserve"> puisque retirer des quotas pour une phase future </w:t>
      </w:r>
      <w:r w:rsidR="00124CC1">
        <w:rPr>
          <w:rFonts w:asciiTheme="minorHAnsi" w:hAnsiTheme="minorHAnsi" w:cstheme="minorHAnsi"/>
        </w:rPr>
        <w:t>entraîne une montée du prix</w:t>
      </w:r>
      <w:r w:rsidR="000878AD">
        <w:rPr>
          <w:rFonts w:asciiTheme="minorHAnsi" w:hAnsiTheme="minorHAnsi" w:cstheme="minorHAnsi"/>
        </w:rPr>
        <w:t>. Le même problème se pose sur le devenir de ces quotas non attribués : s’ils intègrent le marché, ils feront baisser le prix du quota</w:t>
      </w:r>
      <w:r w:rsidR="00585D30">
        <w:rPr>
          <w:rFonts w:asciiTheme="minorHAnsi" w:hAnsiTheme="minorHAnsi" w:cstheme="minorHAnsi"/>
        </w:rPr>
        <w:t>.</w:t>
      </w:r>
    </w:p>
    <w:p w:rsidR="00542A53" w:rsidRPr="000C6ABE" w:rsidRDefault="00542A53" w:rsidP="00124CC1">
      <w:pPr>
        <w:pStyle w:val="Paragraphedeliste"/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</w:rPr>
      </w:pPr>
      <w:r w:rsidRPr="000C6ABE">
        <w:rPr>
          <w:rFonts w:asciiTheme="minorHAnsi" w:hAnsiTheme="minorHAnsi" w:cstheme="minorHAnsi"/>
        </w:rPr>
        <w:t>Allonger l’horizon temporel avec un plafond contraignant à 2030 afin de modifier les antic</w:t>
      </w:r>
      <w:r w:rsidRPr="000C6ABE">
        <w:rPr>
          <w:rFonts w:asciiTheme="minorHAnsi" w:hAnsiTheme="minorHAnsi" w:cstheme="minorHAnsi"/>
        </w:rPr>
        <w:t>i</w:t>
      </w:r>
      <w:r w:rsidRPr="000C6ABE">
        <w:rPr>
          <w:rFonts w:asciiTheme="minorHAnsi" w:hAnsiTheme="minorHAnsi" w:cstheme="minorHAnsi"/>
        </w:rPr>
        <w:t>pations de long terme</w:t>
      </w:r>
      <w:r w:rsidR="005D4657" w:rsidRPr="000C6ABE">
        <w:rPr>
          <w:rFonts w:asciiTheme="minorHAnsi" w:hAnsiTheme="minorHAnsi" w:cstheme="minorHAnsi"/>
        </w:rPr>
        <w:t>. S’aligner sur les objectifs 2030 impliquerait une réduction des qu</w:t>
      </w:r>
      <w:r w:rsidR="005D4657" w:rsidRPr="000C6ABE">
        <w:rPr>
          <w:rFonts w:asciiTheme="minorHAnsi" w:hAnsiTheme="minorHAnsi" w:cstheme="minorHAnsi"/>
        </w:rPr>
        <w:t>o</w:t>
      </w:r>
      <w:r w:rsidR="005D4657" w:rsidRPr="000C6ABE">
        <w:rPr>
          <w:rFonts w:asciiTheme="minorHAnsi" w:hAnsiTheme="minorHAnsi" w:cstheme="minorHAnsi"/>
        </w:rPr>
        <w:t>tas de 2.15%/an au lieu de 1.74%/an actuellement avec un effet escompté de 3-</w:t>
      </w:r>
      <w:r w:rsidR="00C30686" w:rsidRPr="000C6ABE">
        <w:rPr>
          <w:rFonts w:asciiTheme="minorHAnsi" w:hAnsiTheme="minorHAnsi" w:cstheme="minorHAnsi"/>
        </w:rPr>
        <w:t xml:space="preserve">4€/tCO2. Cette solution est </w:t>
      </w:r>
      <w:r w:rsidR="000A08F9" w:rsidRPr="000C6ABE">
        <w:rPr>
          <w:rFonts w:asciiTheme="minorHAnsi" w:hAnsiTheme="minorHAnsi" w:cstheme="minorHAnsi"/>
        </w:rPr>
        <w:t xml:space="preserve">cependant </w:t>
      </w:r>
      <w:r w:rsidR="00C30686" w:rsidRPr="000C6ABE">
        <w:rPr>
          <w:rFonts w:asciiTheme="minorHAnsi" w:hAnsiTheme="minorHAnsi" w:cstheme="minorHAnsi"/>
        </w:rPr>
        <w:t>contraire à une mise en place d’une gestion dynamique</w:t>
      </w:r>
      <w:r w:rsidR="000A08F9" w:rsidRPr="000C6ABE">
        <w:rPr>
          <w:rFonts w:asciiTheme="minorHAnsi" w:hAnsiTheme="minorHAnsi" w:cstheme="minorHAnsi"/>
        </w:rPr>
        <w:t xml:space="preserve"> à tr</w:t>
      </w:r>
      <w:r w:rsidR="000A08F9" w:rsidRPr="000C6ABE">
        <w:rPr>
          <w:rFonts w:asciiTheme="minorHAnsi" w:hAnsiTheme="minorHAnsi" w:cstheme="minorHAnsi"/>
        </w:rPr>
        <w:t>a</w:t>
      </w:r>
      <w:r w:rsidR="000A08F9" w:rsidRPr="000C6ABE">
        <w:rPr>
          <w:rFonts w:asciiTheme="minorHAnsi" w:hAnsiTheme="minorHAnsi" w:cstheme="minorHAnsi"/>
        </w:rPr>
        <w:t>vers un organisme central</w:t>
      </w:r>
      <w:r w:rsidR="00585D30">
        <w:rPr>
          <w:rFonts w:asciiTheme="minorHAnsi" w:hAnsiTheme="minorHAnsi" w:cstheme="minorHAnsi"/>
        </w:rPr>
        <w:t>.</w:t>
      </w:r>
    </w:p>
    <w:p w:rsidR="00CE1F4D" w:rsidRDefault="00CE1F4D" w:rsidP="00124CC1">
      <w:pPr>
        <w:widowControl/>
        <w:suppressAutoHyphens w:val="0"/>
        <w:autoSpaceDE w:val="0"/>
        <w:adjustRightInd w:val="0"/>
        <w:jc w:val="both"/>
        <w:textAlignment w:val="auto"/>
      </w:pPr>
    </w:p>
    <w:p w:rsidR="00CE1F4D" w:rsidRDefault="00CE1F4D" w:rsidP="00124CC1">
      <w:pPr>
        <w:widowControl/>
        <w:suppressAutoHyphens w:val="0"/>
        <w:autoSpaceDE w:val="0"/>
        <w:adjustRightInd w:val="0"/>
        <w:jc w:val="both"/>
        <w:textAlignment w:val="auto"/>
        <w:rPr>
          <w:rFonts w:hint="eastAsia"/>
        </w:rPr>
      </w:pPr>
    </w:p>
    <w:p w:rsidR="00CE1F4D" w:rsidRPr="0092376D" w:rsidRDefault="00CE1F4D" w:rsidP="00585D30">
      <w:pPr>
        <w:spacing w:line="276" w:lineRule="auto"/>
        <w:jc w:val="center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 xml:space="preserve">Arguments for and </w:t>
      </w:r>
      <w:r w:rsidR="007F1709">
        <w:rPr>
          <w:rFonts w:ascii="Garamond" w:hAnsi="Garamond"/>
          <w:b/>
          <w:lang w:val="en-US"/>
        </w:rPr>
        <w:t>against a minimum carbon price</w:t>
      </w:r>
    </w:p>
    <w:tbl>
      <w:tblPr>
        <w:tblStyle w:val="Grilledutableau"/>
        <w:tblW w:w="10031" w:type="dxa"/>
        <w:tblLook w:val="04A0"/>
      </w:tblPr>
      <w:tblGrid>
        <w:gridCol w:w="5070"/>
        <w:gridCol w:w="4961"/>
      </w:tblGrid>
      <w:tr w:rsidR="00CE1F4D" w:rsidRPr="00614771" w:rsidTr="00825BCF">
        <w:tc>
          <w:tcPr>
            <w:tcW w:w="5070" w:type="dxa"/>
          </w:tcPr>
          <w:p w:rsidR="00CE1F4D" w:rsidRPr="00614771" w:rsidRDefault="00CE1F4D" w:rsidP="00585D30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614771">
              <w:rPr>
                <w:rFonts w:ascii="Garamond" w:hAnsi="Garamond"/>
                <w:b/>
                <w:lang w:val="en-US"/>
              </w:rPr>
              <w:t>FOR</w:t>
            </w:r>
          </w:p>
        </w:tc>
        <w:tc>
          <w:tcPr>
            <w:tcW w:w="4961" w:type="dxa"/>
          </w:tcPr>
          <w:p w:rsidR="00CE1F4D" w:rsidRPr="00614771" w:rsidRDefault="00CE1F4D" w:rsidP="00585D30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614771">
              <w:rPr>
                <w:rFonts w:ascii="Garamond" w:hAnsi="Garamond"/>
                <w:b/>
                <w:lang w:val="en-US"/>
              </w:rPr>
              <w:t>AGAINST</w:t>
            </w:r>
          </w:p>
        </w:tc>
      </w:tr>
      <w:tr w:rsidR="000C6ABE" w:rsidRPr="000C6ABE" w:rsidTr="00825BCF">
        <w:tc>
          <w:tcPr>
            <w:tcW w:w="5070" w:type="dxa"/>
          </w:tcPr>
          <w:p w:rsidR="000C6ABE" w:rsidRPr="000C6ABE" w:rsidRDefault="000C6ABE" w:rsidP="00124CC1">
            <w:pPr>
              <w:jc w:val="both"/>
              <w:rPr>
                <w:rFonts w:ascii="Garamond" w:hAnsi="Garamond"/>
              </w:rPr>
            </w:pPr>
            <w:r w:rsidRPr="000C6ABE">
              <w:rPr>
                <w:rFonts w:ascii="Garamond" w:hAnsi="Garamond"/>
              </w:rPr>
              <w:t>“</w:t>
            </w:r>
            <w:r w:rsidRPr="000C6ABE">
              <w:rPr>
                <w:rFonts w:ascii="Garamond" w:hAnsi="Garamond"/>
              </w:rPr>
              <w:t>Le décalage entre le nouveau prix et le prix de marché théorique a spontanément tendance à s’amplifier : le prix plancher de 20€/tCO2 « force » des réductions d’émissions</w:t>
            </w:r>
            <w:r w:rsidRPr="000C6ABE">
              <w:rPr>
                <w:rFonts w:ascii="Garamond" w:hAnsi="Garamond"/>
              </w:rPr>
              <w:t>”</w:t>
            </w:r>
            <w:r>
              <w:rPr>
                <w:rFonts w:ascii="Garamond" w:hAnsi="Garamond"/>
              </w:rPr>
              <w:t xml:space="preserve"> (p12) supplémentaires au par rapport au plafond initialement fixé</w:t>
            </w:r>
          </w:p>
        </w:tc>
        <w:tc>
          <w:tcPr>
            <w:tcW w:w="4961" w:type="dxa"/>
          </w:tcPr>
          <w:p w:rsidR="000C6ABE" w:rsidRPr="000C6ABE" w:rsidRDefault="000C6ABE" w:rsidP="00124CC1">
            <w:pPr>
              <w:jc w:val="both"/>
              <w:rPr>
                <w:rFonts w:ascii="Garamond" w:hAnsi="Garamond"/>
              </w:rPr>
            </w:pPr>
          </w:p>
        </w:tc>
      </w:tr>
      <w:tr w:rsidR="00825BCF" w:rsidRPr="000C6ABE" w:rsidTr="00825BCF">
        <w:tc>
          <w:tcPr>
            <w:tcW w:w="5070" w:type="dxa"/>
          </w:tcPr>
          <w:p w:rsidR="00825BCF" w:rsidRPr="000C6ABE" w:rsidRDefault="00825BCF" w:rsidP="00124CC1">
            <w:pPr>
              <w:jc w:val="both"/>
              <w:rPr>
                <w:rFonts w:ascii="Garamond" w:hAnsi="Garamond"/>
              </w:rPr>
            </w:pPr>
            <w:r w:rsidRPr="00124CC1">
              <w:rPr>
                <w:rFonts w:ascii="Garamond" w:hAnsi="Garamond"/>
              </w:rPr>
              <w:t>“Cette pseudo-taxe fait baisser les émissions de CO2 en dessous du plafond matérialisé par le nombre total de quotas et de crédits disp</w:t>
            </w:r>
            <w:r w:rsidRPr="00124CC1">
              <w:rPr>
                <w:rFonts w:ascii="Garamond" w:hAnsi="Garamond"/>
              </w:rPr>
              <w:t>o</w:t>
            </w:r>
            <w:r w:rsidRPr="00124CC1">
              <w:rPr>
                <w:rFonts w:ascii="Garamond" w:hAnsi="Garamond"/>
              </w:rPr>
              <w:t>nibles</w:t>
            </w:r>
            <w:r w:rsidR="00124CC1" w:rsidRPr="000C6ABE">
              <w:rPr>
                <w:rFonts w:ascii="Garamond" w:hAnsi="Garamond"/>
              </w:rPr>
              <w:t>”</w:t>
            </w:r>
            <w:r w:rsidR="00124CC1">
              <w:rPr>
                <w:rFonts w:ascii="Garamond" w:hAnsi="Garamond"/>
              </w:rPr>
              <w:t xml:space="preserve"> (p13)</w:t>
            </w:r>
          </w:p>
        </w:tc>
        <w:tc>
          <w:tcPr>
            <w:tcW w:w="4961" w:type="dxa"/>
          </w:tcPr>
          <w:p w:rsidR="00825BCF" w:rsidRPr="000C6ABE" w:rsidRDefault="00825BCF" w:rsidP="00124CC1">
            <w:pPr>
              <w:jc w:val="both"/>
              <w:rPr>
                <w:rFonts w:ascii="Garamond" w:hAnsi="Garamond"/>
              </w:rPr>
            </w:pPr>
          </w:p>
        </w:tc>
      </w:tr>
      <w:tr w:rsidR="000C6ABE" w:rsidRPr="000C6ABE" w:rsidTr="00825BCF">
        <w:tc>
          <w:tcPr>
            <w:tcW w:w="5070" w:type="dxa"/>
          </w:tcPr>
          <w:p w:rsidR="000C6ABE" w:rsidRPr="000C6ABE" w:rsidRDefault="000C6ABE" w:rsidP="00124CC1">
            <w:pPr>
              <w:jc w:val="both"/>
              <w:rPr>
                <w:rFonts w:ascii="Garamond" w:hAnsi="Garamond"/>
              </w:rPr>
            </w:pPr>
            <w:r w:rsidRPr="000C6ABE">
              <w:rPr>
                <w:rFonts w:ascii="Garamond" w:hAnsi="Garamond"/>
              </w:rPr>
              <w:t>“</w:t>
            </w:r>
            <w:r w:rsidR="007F1709" w:rsidRPr="007F1709">
              <w:rPr>
                <w:rFonts w:ascii="Garamond" w:hAnsi="Garamond"/>
              </w:rPr>
              <w:t>La baisse des émissions entrainée par un prix au double de son niveau dicté par l’équilibre offre/demande pr</w:t>
            </w:r>
            <w:r w:rsidR="007F1709" w:rsidRPr="007F1709">
              <w:rPr>
                <w:rFonts w:ascii="Garamond" w:hAnsi="Garamond"/>
              </w:rPr>
              <w:t>o</w:t>
            </w:r>
            <w:r w:rsidR="007F1709" w:rsidRPr="007F1709">
              <w:rPr>
                <w:rFonts w:ascii="Garamond" w:hAnsi="Garamond"/>
              </w:rPr>
              <w:t>voque mécaniquement des réductions d’émissions su</w:t>
            </w:r>
            <w:r w:rsidR="007F1709" w:rsidRPr="007F1709">
              <w:rPr>
                <w:rFonts w:ascii="Garamond" w:hAnsi="Garamond"/>
              </w:rPr>
              <w:t>p</w:t>
            </w:r>
            <w:r w:rsidR="007F1709" w:rsidRPr="007F1709">
              <w:rPr>
                <w:rFonts w:ascii="Garamond" w:hAnsi="Garamond"/>
              </w:rPr>
              <w:t>plémentaires donc un recul de la demande de quotas</w:t>
            </w:r>
            <w:r w:rsidRPr="000C6ABE">
              <w:rPr>
                <w:rFonts w:ascii="Garamond" w:hAnsi="Garamond"/>
              </w:rPr>
              <w:t>”</w:t>
            </w:r>
            <w:r w:rsidR="007F1709">
              <w:rPr>
                <w:rFonts w:ascii="Garamond" w:hAnsi="Garamond"/>
              </w:rPr>
              <w:t xml:space="preserve"> (p13</w:t>
            </w:r>
            <w:r>
              <w:rPr>
                <w:rFonts w:ascii="Garamond" w:hAnsi="Garamond"/>
              </w:rPr>
              <w:t>)</w:t>
            </w:r>
            <w:r w:rsidR="007F1709">
              <w:rPr>
                <w:rFonts w:ascii="Garamond" w:hAnsi="Garamond"/>
              </w:rPr>
              <w:t xml:space="preserve"> avec un effet à la baisse potentiel si on lève le prix de réserve</w:t>
            </w:r>
          </w:p>
        </w:tc>
        <w:tc>
          <w:tcPr>
            <w:tcW w:w="4961" w:type="dxa"/>
          </w:tcPr>
          <w:p w:rsidR="000C6ABE" w:rsidRPr="000C6ABE" w:rsidRDefault="000C6ABE" w:rsidP="00124CC1">
            <w:pPr>
              <w:jc w:val="both"/>
              <w:rPr>
                <w:rFonts w:ascii="Garamond" w:hAnsi="Garamond"/>
              </w:rPr>
            </w:pPr>
            <w:r w:rsidRPr="000C6ABE">
              <w:rPr>
                <w:rFonts w:ascii="Garamond" w:hAnsi="Garamond"/>
              </w:rPr>
              <w:t>“</w:t>
            </w:r>
            <w:r w:rsidR="007F1709" w:rsidRPr="007F1709">
              <w:rPr>
                <w:rFonts w:ascii="Garamond" w:hAnsi="Garamond"/>
              </w:rPr>
              <w:t>L’autorité adjudicatrice des quotas est donc co</w:t>
            </w:r>
            <w:r w:rsidR="007F1709" w:rsidRPr="007F1709">
              <w:rPr>
                <w:rFonts w:ascii="Garamond" w:hAnsi="Garamond"/>
              </w:rPr>
              <w:t>n</w:t>
            </w:r>
            <w:r w:rsidR="007F1709" w:rsidRPr="007F1709">
              <w:rPr>
                <w:rFonts w:ascii="Garamond" w:hAnsi="Garamond"/>
              </w:rPr>
              <w:t>trainte d’accumuler une quantité toujours croissante de qu</w:t>
            </w:r>
            <w:r w:rsidR="007F1709" w:rsidRPr="007F1709">
              <w:rPr>
                <w:rFonts w:ascii="Garamond" w:hAnsi="Garamond"/>
              </w:rPr>
              <w:t>o</w:t>
            </w:r>
            <w:r w:rsidR="007F1709" w:rsidRPr="007F1709">
              <w:rPr>
                <w:rFonts w:ascii="Garamond" w:hAnsi="Garamond"/>
              </w:rPr>
              <w:t>tas</w:t>
            </w:r>
            <w:r w:rsidR="007F1709" w:rsidRPr="000C6ABE">
              <w:rPr>
                <w:rFonts w:ascii="Garamond" w:hAnsi="Garamond"/>
              </w:rPr>
              <w:t>”</w:t>
            </w:r>
            <w:r w:rsidR="007F1709" w:rsidRPr="007F1709">
              <w:rPr>
                <w:rFonts w:ascii="Garamond" w:hAnsi="Garamond"/>
              </w:rPr>
              <w:t xml:space="preserve"> </w:t>
            </w:r>
            <w:r w:rsidRPr="000C6ABE">
              <w:rPr>
                <w:rFonts w:ascii="Garamond" w:hAnsi="Garamond"/>
              </w:rPr>
              <w:t>(p</w:t>
            </w:r>
            <w:r w:rsidR="007F1709">
              <w:rPr>
                <w:rFonts w:ascii="Garamond" w:hAnsi="Garamond"/>
              </w:rPr>
              <w:t>13) à la hauteur de 1,1Gt sur 2013-2020 qui n</w:t>
            </w:r>
            <w:r w:rsidR="007F1709">
              <w:rPr>
                <w:rFonts w:ascii="Garamond" w:hAnsi="Garamond"/>
              </w:rPr>
              <w:t>é</w:t>
            </w:r>
            <w:r w:rsidR="007F1709">
              <w:rPr>
                <w:rFonts w:ascii="Garamond" w:hAnsi="Garamond"/>
              </w:rPr>
              <w:t>cessite un ajust</w:t>
            </w:r>
            <w:r w:rsidR="007F1709">
              <w:rPr>
                <w:rFonts w:ascii="Garamond" w:hAnsi="Garamond"/>
              </w:rPr>
              <w:t>e</w:t>
            </w:r>
            <w:r w:rsidR="007F1709">
              <w:rPr>
                <w:rFonts w:ascii="Garamond" w:hAnsi="Garamond"/>
              </w:rPr>
              <w:t xml:space="preserve">ment futur du plafond </w:t>
            </w:r>
            <w:r w:rsidR="00825BCF">
              <w:rPr>
                <w:rFonts w:ascii="Garamond" w:hAnsi="Garamond"/>
              </w:rPr>
              <w:t>pour ne pas faire plonger le cours à long terme</w:t>
            </w:r>
          </w:p>
        </w:tc>
      </w:tr>
      <w:tr w:rsidR="000C6ABE" w:rsidRPr="000C6ABE" w:rsidTr="00825BCF">
        <w:tc>
          <w:tcPr>
            <w:tcW w:w="5070" w:type="dxa"/>
          </w:tcPr>
          <w:p w:rsidR="000C6ABE" w:rsidRPr="000C6ABE" w:rsidRDefault="000C6ABE" w:rsidP="00124CC1">
            <w:pPr>
              <w:jc w:val="both"/>
              <w:rPr>
                <w:rFonts w:ascii="Garamond" w:hAnsi="Garamond"/>
              </w:rPr>
            </w:pPr>
            <w:r w:rsidRPr="000C6ABE">
              <w:rPr>
                <w:rFonts w:ascii="Garamond" w:hAnsi="Garamond"/>
              </w:rPr>
              <w:t>Donne “aux acteurs une vis</w:t>
            </w:r>
            <w:r w:rsidR="00124CC1">
              <w:rPr>
                <w:rFonts w:ascii="Garamond" w:hAnsi="Garamond"/>
              </w:rPr>
              <w:t>ibilité temporaire sur le prix</w:t>
            </w:r>
            <w:r w:rsidRPr="000C6ABE">
              <w:rPr>
                <w:rFonts w:ascii="Garamond" w:hAnsi="Garamond"/>
              </w:rPr>
              <w:t>”</w:t>
            </w:r>
            <w:r>
              <w:rPr>
                <w:rFonts w:ascii="Garamond" w:hAnsi="Garamond"/>
              </w:rPr>
              <w:t xml:space="preserve"> (p14)</w:t>
            </w:r>
          </w:p>
        </w:tc>
        <w:tc>
          <w:tcPr>
            <w:tcW w:w="4961" w:type="dxa"/>
          </w:tcPr>
          <w:p w:rsidR="000C6ABE" w:rsidRPr="000C6ABE" w:rsidRDefault="000C6ABE" w:rsidP="00124CC1">
            <w:pPr>
              <w:jc w:val="both"/>
              <w:rPr>
                <w:rFonts w:ascii="Garamond" w:hAnsi="Garamond"/>
              </w:rPr>
            </w:pPr>
            <w:r w:rsidRPr="000C6ABE">
              <w:rPr>
                <w:rFonts w:ascii="Garamond" w:hAnsi="Garamond"/>
              </w:rPr>
              <w:t>Mais “brouille totalement leur horizon de moyen terme” tant qu’il n’y a pas de d</w:t>
            </w:r>
            <w:r>
              <w:rPr>
                <w:rFonts w:ascii="Garamond" w:hAnsi="Garamond"/>
              </w:rPr>
              <w:t>écision claire sur la de</w:t>
            </w:r>
            <w:r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tination des surplus de quotas engendrés</w:t>
            </w:r>
            <w:r w:rsidRPr="000C6ABE">
              <w:rPr>
                <w:rFonts w:ascii="Garamond" w:hAnsi="Garamond"/>
              </w:rPr>
              <w:t xml:space="preserve"> (p</w:t>
            </w:r>
            <w:r>
              <w:rPr>
                <w:rFonts w:ascii="Garamond" w:hAnsi="Garamond"/>
              </w:rPr>
              <w:t>14</w:t>
            </w:r>
            <w:r w:rsidRPr="000C6ABE">
              <w:rPr>
                <w:rFonts w:ascii="Garamond" w:hAnsi="Garamond"/>
              </w:rPr>
              <w:t>)</w:t>
            </w:r>
          </w:p>
        </w:tc>
      </w:tr>
      <w:tr w:rsidR="000C6ABE" w:rsidTr="00825BCF">
        <w:tc>
          <w:tcPr>
            <w:tcW w:w="5070" w:type="dxa"/>
          </w:tcPr>
          <w:p w:rsidR="000C6ABE" w:rsidRDefault="000C6ABE" w:rsidP="00124CC1">
            <w:pPr>
              <w:jc w:val="both"/>
            </w:pPr>
          </w:p>
        </w:tc>
        <w:tc>
          <w:tcPr>
            <w:tcW w:w="4961" w:type="dxa"/>
          </w:tcPr>
          <w:p w:rsidR="000C6ABE" w:rsidRDefault="00825BCF" w:rsidP="00124CC1">
            <w:pPr>
              <w:jc w:val="both"/>
            </w:pPr>
            <w:r w:rsidRPr="000C6ABE">
              <w:rPr>
                <w:rFonts w:ascii="Garamond" w:hAnsi="Garamond"/>
              </w:rPr>
              <w:t>“</w:t>
            </w:r>
            <w:r w:rsidRPr="00825BCF">
              <w:rPr>
                <w:rFonts w:ascii="Garamond" w:hAnsi="Garamond"/>
              </w:rPr>
              <w:t>Une option radicale consisterait alors à annuler pur</w:t>
            </w:r>
            <w:r w:rsidRPr="00825BCF">
              <w:rPr>
                <w:rFonts w:ascii="Garamond" w:hAnsi="Garamond"/>
              </w:rPr>
              <w:t>e</w:t>
            </w:r>
            <w:r w:rsidRPr="00825BCF">
              <w:rPr>
                <w:rFonts w:ascii="Garamond" w:hAnsi="Garamond"/>
              </w:rPr>
              <w:t>ment et simplement ces quotas</w:t>
            </w:r>
            <w:r>
              <w:rPr>
                <w:rFonts w:ascii="Garamond" w:hAnsi="Garamond"/>
              </w:rPr>
              <w:t xml:space="preserve"> (1,1Gt acc</w:t>
            </w:r>
            <w:r>
              <w:rPr>
                <w:rFonts w:ascii="Garamond" w:hAnsi="Garamond"/>
              </w:rPr>
              <w:t>u</w:t>
            </w:r>
            <w:r>
              <w:rPr>
                <w:rFonts w:ascii="Garamond" w:hAnsi="Garamond"/>
              </w:rPr>
              <w:t>mulés)</w:t>
            </w:r>
            <w:r w:rsidRPr="00825BCF">
              <w:rPr>
                <w:rFonts w:ascii="Garamond" w:hAnsi="Garamond"/>
              </w:rPr>
              <w:t>, autrement dit à changer le plafond. Mais pourquoi alors ne pas directement retenir cette option en e</w:t>
            </w:r>
            <w:r w:rsidRPr="00825BCF">
              <w:rPr>
                <w:rFonts w:ascii="Garamond" w:hAnsi="Garamond"/>
              </w:rPr>
              <w:t>n</w:t>
            </w:r>
            <w:r w:rsidRPr="00825BCF">
              <w:rPr>
                <w:rFonts w:ascii="Garamond" w:hAnsi="Garamond"/>
              </w:rPr>
              <w:t>voyant un</w:t>
            </w:r>
            <w:r>
              <w:rPr>
                <w:rFonts w:ascii="Garamond" w:hAnsi="Garamond"/>
              </w:rPr>
              <w:t xml:space="preserve"> signal clair aux industriels ?</w:t>
            </w:r>
            <w:r w:rsidRPr="000C6ABE">
              <w:rPr>
                <w:rFonts w:ascii="Garamond" w:hAnsi="Garamond"/>
              </w:rPr>
              <w:t xml:space="preserve"> </w:t>
            </w:r>
            <w:r w:rsidRPr="000C6ABE">
              <w:rPr>
                <w:rFonts w:ascii="Garamond" w:hAnsi="Garamond"/>
              </w:rPr>
              <w:t>”</w:t>
            </w:r>
            <w:r w:rsidR="00124CC1">
              <w:rPr>
                <w:rFonts w:ascii="Garamond" w:hAnsi="Garamond"/>
              </w:rPr>
              <w:t xml:space="preserve"> (p13)</w:t>
            </w:r>
            <w:r>
              <w:rPr>
                <w:rFonts w:ascii="Garamond" w:hAnsi="Garamond"/>
              </w:rPr>
              <w:t xml:space="preserve"> </w:t>
            </w:r>
          </w:p>
        </w:tc>
      </w:tr>
    </w:tbl>
    <w:p w:rsidR="00CE1F4D" w:rsidRPr="003E7F86" w:rsidRDefault="00CE1F4D" w:rsidP="00124CC1">
      <w:pPr>
        <w:spacing w:line="276" w:lineRule="auto"/>
        <w:jc w:val="both"/>
        <w:rPr>
          <w:rFonts w:asciiTheme="minorHAnsi" w:hAnsiTheme="minorHAnsi" w:cstheme="minorHAnsi"/>
        </w:rPr>
      </w:pPr>
    </w:p>
    <w:p w:rsidR="00CE1F4D" w:rsidRPr="003E7F86" w:rsidRDefault="00CE1F4D" w:rsidP="00124CC1">
      <w:pPr>
        <w:spacing w:line="276" w:lineRule="auto"/>
        <w:jc w:val="both"/>
        <w:rPr>
          <w:rFonts w:asciiTheme="minorHAnsi" w:hAnsiTheme="minorHAnsi" w:cstheme="minorHAnsi"/>
        </w:rPr>
      </w:pPr>
    </w:p>
    <w:sectPr w:rsidR="00CE1F4D" w:rsidRPr="003E7F86" w:rsidSect="00BF326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67" w:rsidRDefault="00BF3267" w:rsidP="00BF3267">
      <w:pPr>
        <w:rPr>
          <w:rFonts w:hint="eastAsia"/>
        </w:rPr>
      </w:pPr>
      <w:r>
        <w:separator/>
      </w:r>
    </w:p>
  </w:endnote>
  <w:endnote w:type="continuationSeparator" w:id="0">
    <w:p w:rsidR="00BF3267" w:rsidRDefault="00BF3267" w:rsidP="00BF32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67" w:rsidRDefault="00E809B5" w:rsidP="00BF3267">
      <w:pPr>
        <w:rPr>
          <w:rFonts w:hint="eastAsia"/>
        </w:rPr>
      </w:pPr>
      <w:r w:rsidRPr="00BF3267">
        <w:rPr>
          <w:color w:val="000000"/>
        </w:rPr>
        <w:separator/>
      </w:r>
    </w:p>
  </w:footnote>
  <w:footnote w:type="continuationSeparator" w:id="0">
    <w:p w:rsidR="00BF3267" w:rsidRDefault="00BF3267" w:rsidP="00BF326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146"/>
    <w:multiLevelType w:val="hybridMultilevel"/>
    <w:tmpl w:val="F498EC12"/>
    <w:lvl w:ilvl="0" w:tplc="981CD9E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3267"/>
    <w:rsid w:val="0000139F"/>
    <w:rsid w:val="000878AD"/>
    <w:rsid w:val="000A08F9"/>
    <w:rsid w:val="000C6ABE"/>
    <w:rsid w:val="000D73C0"/>
    <w:rsid w:val="00124CC1"/>
    <w:rsid w:val="001B360A"/>
    <w:rsid w:val="002C6316"/>
    <w:rsid w:val="003940FD"/>
    <w:rsid w:val="003D3551"/>
    <w:rsid w:val="003E7F86"/>
    <w:rsid w:val="004237B8"/>
    <w:rsid w:val="004A4E88"/>
    <w:rsid w:val="004D6FA9"/>
    <w:rsid w:val="004F4609"/>
    <w:rsid w:val="00542A53"/>
    <w:rsid w:val="00544DE6"/>
    <w:rsid w:val="00557410"/>
    <w:rsid w:val="00585D30"/>
    <w:rsid w:val="005D4657"/>
    <w:rsid w:val="00720AD7"/>
    <w:rsid w:val="007F1709"/>
    <w:rsid w:val="00804EFD"/>
    <w:rsid w:val="00814767"/>
    <w:rsid w:val="00825BCF"/>
    <w:rsid w:val="008A2A45"/>
    <w:rsid w:val="008C2438"/>
    <w:rsid w:val="00907AD4"/>
    <w:rsid w:val="0091235D"/>
    <w:rsid w:val="009C43DB"/>
    <w:rsid w:val="00B768F5"/>
    <w:rsid w:val="00BD48D1"/>
    <w:rsid w:val="00BF3267"/>
    <w:rsid w:val="00BF41A4"/>
    <w:rsid w:val="00C05817"/>
    <w:rsid w:val="00C30686"/>
    <w:rsid w:val="00CA2412"/>
    <w:rsid w:val="00CE1F4D"/>
    <w:rsid w:val="00D44B83"/>
    <w:rsid w:val="00DB78E5"/>
    <w:rsid w:val="00E31DCA"/>
    <w:rsid w:val="00E62073"/>
    <w:rsid w:val="00E809B5"/>
    <w:rsid w:val="00E81E3B"/>
    <w:rsid w:val="00F92B68"/>
    <w:rsid w:val="00FC5977"/>
    <w:rsid w:val="00FD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D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F3267"/>
  </w:style>
  <w:style w:type="paragraph" w:customStyle="1" w:styleId="Heading">
    <w:name w:val="Heading"/>
    <w:basedOn w:val="Standard"/>
    <w:next w:val="Textbody"/>
    <w:rsid w:val="00BF326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F3267"/>
    <w:pPr>
      <w:spacing w:after="140" w:line="288" w:lineRule="auto"/>
    </w:pPr>
  </w:style>
  <w:style w:type="paragraph" w:styleId="Liste">
    <w:name w:val="List"/>
    <w:basedOn w:val="Textbody"/>
    <w:rsid w:val="00BF3267"/>
  </w:style>
  <w:style w:type="paragraph" w:customStyle="1" w:styleId="Caption">
    <w:name w:val="Caption"/>
    <w:basedOn w:val="Standard"/>
    <w:rsid w:val="00BF32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F3267"/>
    <w:pPr>
      <w:suppressLineNumbers/>
    </w:pPr>
  </w:style>
  <w:style w:type="paragraph" w:customStyle="1" w:styleId="Titreprincipal">
    <w:name w:val="Titre principal"/>
    <w:basedOn w:val="Normal"/>
    <w:next w:val="Normal"/>
    <w:uiPriority w:val="10"/>
    <w:qFormat/>
    <w:rsid w:val="008C2438"/>
    <w:pPr>
      <w:widowControl/>
      <w:pBdr>
        <w:bottom w:val="single" w:sz="8" w:space="4" w:color="4F81BD"/>
      </w:pBdr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0"/>
      <w:sz w:val="52"/>
      <w:szCs w:val="52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A4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A45"/>
    <w:rPr>
      <w:rFonts w:ascii="Tahoma" w:hAnsi="Tahom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4D6FA9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59"/>
    <w:rsid w:val="00DB78E5"/>
    <w:pPr>
      <w:widowControl/>
      <w:suppressAutoHyphens w:val="0"/>
      <w:autoSpaceDN/>
      <w:spacing w:beforeAutospacing="1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7604671177msonormal">
    <w:name w:val="yiv7604671177msonormal"/>
    <w:basedOn w:val="Normal"/>
    <w:rsid w:val="002C63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 QUENTIN</dc:creator>
  <cp:lastModifiedBy>J0365425</cp:lastModifiedBy>
  <cp:revision>3</cp:revision>
  <dcterms:created xsi:type="dcterms:W3CDTF">2016-02-24T16:44:00Z</dcterms:created>
  <dcterms:modified xsi:type="dcterms:W3CDTF">2016-02-25T12:52:00Z</dcterms:modified>
</cp:coreProperties>
</file>