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EA" w:rsidRPr="009F0EEA" w:rsidRDefault="009F0EEA" w:rsidP="009F0EEA">
      <w:pPr>
        <w:widowControl/>
        <w:suppressAutoHyphens w:val="0"/>
        <w:autoSpaceDE w:val="0"/>
        <w:adjustRightInd w:val="0"/>
        <w:textAlignment w:val="auto"/>
        <w:rPr>
          <w:rFonts w:asciiTheme="minorHAnsi" w:hAnsiTheme="minorHAnsi" w:cstheme="minorHAnsi"/>
          <w:b/>
          <w:i/>
          <w:color w:val="FF0000"/>
          <w:sz w:val="16"/>
          <w:lang w:val="en-US"/>
        </w:rPr>
      </w:pPr>
      <w:r w:rsidRPr="009F0EEA">
        <w:rPr>
          <w:rFonts w:asciiTheme="minorHAnsi" w:hAnsiTheme="minorHAnsi" w:cstheme="minorHAnsi" w:hint="eastAsia"/>
          <w:b/>
          <w:i/>
          <w:color w:val="FF0000"/>
          <w:sz w:val="16"/>
          <w:lang w:val="en-US"/>
        </w:rPr>
        <w:t>2014 UK Event pros and cons auction reserve price.pdf</w:t>
      </w:r>
    </w:p>
    <w:p w:rsidR="009F0EEA" w:rsidRDefault="009F0EEA" w:rsidP="005D339E">
      <w:pPr>
        <w:widowControl/>
        <w:suppressAutoHyphens w:val="0"/>
        <w:autoSpaceDE w:val="0"/>
        <w:adjustRightInd w:val="0"/>
        <w:jc w:val="both"/>
        <w:textAlignment w:val="auto"/>
        <w:rPr>
          <w:rFonts w:asciiTheme="minorHAnsi" w:hAnsiTheme="minorHAnsi" w:cstheme="minorHAnsi"/>
          <w:sz w:val="22"/>
          <w:szCs w:val="21"/>
          <w:lang w:val="en-US"/>
        </w:rPr>
      </w:pPr>
    </w:p>
    <w:p w:rsidR="009F0EEA" w:rsidRDefault="009F0EEA" w:rsidP="005D339E">
      <w:pPr>
        <w:widowControl/>
        <w:suppressAutoHyphens w:val="0"/>
        <w:autoSpaceDE w:val="0"/>
        <w:adjustRightInd w:val="0"/>
        <w:jc w:val="both"/>
        <w:textAlignment w:val="auto"/>
        <w:rPr>
          <w:rFonts w:asciiTheme="minorHAnsi" w:hAnsiTheme="minorHAnsi" w:cstheme="minorHAnsi"/>
          <w:sz w:val="22"/>
          <w:szCs w:val="21"/>
          <w:lang w:val="en-US"/>
        </w:rPr>
      </w:pPr>
    </w:p>
    <w:p w:rsidR="003F4663" w:rsidRDefault="003F4663" w:rsidP="005D339E">
      <w:pPr>
        <w:widowControl/>
        <w:suppressAutoHyphens w:val="0"/>
        <w:autoSpaceDE w:val="0"/>
        <w:adjustRightInd w:val="0"/>
        <w:jc w:val="both"/>
        <w:textAlignment w:val="auto"/>
        <w:rPr>
          <w:rFonts w:asciiTheme="minorHAnsi" w:hAnsiTheme="minorHAnsi" w:cstheme="minorHAnsi"/>
          <w:sz w:val="22"/>
          <w:szCs w:val="21"/>
          <w:lang w:val="en-US"/>
        </w:rPr>
      </w:pPr>
      <w:r>
        <w:rPr>
          <w:rFonts w:asciiTheme="minorHAnsi" w:hAnsiTheme="minorHAnsi" w:cstheme="minorHAnsi"/>
          <w:sz w:val="22"/>
          <w:szCs w:val="21"/>
          <w:lang w:val="en-US"/>
        </w:rPr>
        <w:t>_______________________________________________________________________________________</w:t>
      </w:r>
    </w:p>
    <w:p w:rsidR="005D339E" w:rsidRPr="00A37F02" w:rsidRDefault="00FE5DAE" w:rsidP="005D339E">
      <w:pPr>
        <w:widowControl/>
        <w:suppressAutoHyphens w:val="0"/>
        <w:autoSpaceDE w:val="0"/>
        <w:adjustRightInd w:val="0"/>
        <w:jc w:val="both"/>
        <w:textAlignment w:val="auto"/>
        <w:rPr>
          <w:rFonts w:asciiTheme="minorHAnsi" w:hAnsiTheme="minorHAnsi" w:cstheme="minorHAnsi"/>
          <w:sz w:val="22"/>
          <w:szCs w:val="21"/>
          <w:lang w:val="en-US"/>
        </w:rPr>
      </w:pPr>
      <w:r w:rsidRPr="00A37F02">
        <w:rPr>
          <w:rFonts w:asciiTheme="minorHAnsi" w:hAnsiTheme="minorHAnsi" w:cstheme="minorHAnsi"/>
          <w:sz w:val="22"/>
          <w:szCs w:val="21"/>
          <w:lang w:val="en-US"/>
        </w:rPr>
        <w:t>Departme</w:t>
      </w:r>
      <w:r w:rsidR="00F738B3" w:rsidRPr="00A37F02">
        <w:rPr>
          <w:rFonts w:asciiTheme="minorHAnsi" w:hAnsiTheme="minorHAnsi" w:cstheme="minorHAnsi"/>
          <w:sz w:val="22"/>
          <w:szCs w:val="21"/>
          <w:lang w:val="en-US"/>
        </w:rPr>
        <w:t xml:space="preserve">nt of Energy and Climate Change, </w:t>
      </w:r>
      <w:r w:rsidR="00095A0B">
        <w:rPr>
          <w:rFonts w:asciiTheme="minorHAnsi" w:hAnsiTheme="minorHAnsi" w:cstheme="minorHAnsi"/>
          <w:sz w:val="22"/>
          <w:szCs w:val="21"/>
          <w:lang w:val="en-US"/>
        </w:rPr>
        <w:t xml:space="preserve">January 2014. </w:t>
      </w:r>
      <w:r w:rsidR="00F07207">
        <w:rPr>
          <w:rFonts w:asciiTheme="minorHAnsi" w:hAnsiTheme="minorHAnsi" w:cstheme="minorHAnsi"/>
          <w:sz w:val="22"/>
          <w:szCs w:val="21"/>
          <w:lang w:val="en-US"/>
        </w:rPr>
        <w:t xml:space="preserve">GB: </w:t>
      </w:r>
      <w:r w:rsidR="00A37F02" w:rsidRPr="00A37F02">
        <w:rPr>
          <w:rFonts w:asciiTheme="minorHAnsi" w:hAnsiTheme="minorHAnsi" w:cstheme="minorHAnsi"/>
          <w:sz w:val="22"/>
          <w:szCs w:val="21"/>
          <w:lang w:val="en-US"/>
        </w:rPr>
        <w:t>EU ETS Structural Reform Stakeholder Event</w:t>
      </w:r>
      <w:r w:rsidR="00095A0B">
        <w:rPr>
          <w:rFonts w:asciiTheme="minorHAnsi" w:hAnsiTheme="minorHAnsi" w:cstheme="minorHAnsi"/>
          <w:sz w:val="22"/>
          <w:szCs w:val="21"/>
          <w:lang w:val="en-US"/>
        </w:rPr>
        <w:t>.</w:t>
      </w:r>
      <w:r w:rsidR="005D339E" w:rsidRPr="00A37F02">
        <w:rPr>
          <w:rFonts w:asciiTheme="minorHAnsi" w:hAnsiTheme="minorHAnsi" w:cstheme="minorHAnsi"/>
          <w:sz w:val="22"/>
          <w:szCs w:val="21"/>
          <w:lang w:val="en-US"/>
        </w:rPr>
        <w:t xml:space="preserve"> </w:t>
      </w:r>
    </w:p>
    <w:p w:rsidR="00585D30" w:rsidRDefault="00585D30" w:rsidP="00BF41A4">
      <w:pPr>
        <w:widowControl/>
        <w:suppressAutoHyphens w:val="0"/>
        <w:autoSpaceDE w:val="0"/>
        <w:adjustRightInd w:val="0"/>
        <w:textAlignment w:val="auto"/>
        <w:rPr>
          <w:rFonts w:asciiTheme="minorHAnsi" w:hAnsiTheme="minorHAnsi" w:cstheme="minorHAnsi"/>
          <w:sz w:val="22"/>
          <w:lang w:val="en-US"/>
        </w:rPr>
      </w:pPr>
    </w:p>
    <w:p w:rsidR="009F0EEA" w:rsidRPr="00A37F02" w:rsidRDefault="009F0EEA" w:rsidP="00BF41A4">
      <w:pPr>
        <w:widowControl/>
        <w:suppressAutoHyphens w:val="0"/>
        <w:autoSpaceDE w:val="0"/>
        <w:adjustRightInd w:val="0"/>
        <w:textAlignment w:val="auto"/>
        <w:rPr>
          <w:rFonts w:asciiTheme="minorHAnsi" w:hAnsiTheme="minorHAnsi" w:cstheme="minorHAnsi"/>
          <w:sz w:val="22"/>
          <w:lang w:val="en-US"/>
        </w:rPr>
      </w:pPr>
    </w:p>
    <w:p w:rsidR="003E7F86" w:rsidRPr="00A37F02" w:rsidRDefault="003E7F86" w:rsidP="003E7F86">
      <w:pPr>
        <w:widowControl/>
        <w:suppressAutoHyphens w:val="0"/>
        <w:autoSpaceDE w:val="0"/>
        <w:adjustRightInd w:val="0"/>
        <w:textAlignment w:val="auto"/>
        <w:rPr>
          <w:rFonts w:ascii="Calibri" w:hAnsi="Calibri" w:cs="Calibri"/>
          <w:sz w:val="22"/>
          <w:lang w:val="en-US"/>
        </w:rPr>
      </w:pPr>
      <w:proofErr w:type="gramStart"/>
      <w:r w:rsidRPr="00A37F02">
        <w:rPr>
          <w:rFonts w:ascii="Calibri" w:hAnsi="Calibri" w:cs="Calibri"/>
          <w:b/>
          <w:sz w:val="22"/>
          <w:lang w:val="en-US"/>
        </w:rPr>
        <w:t>Synth</w:t>
      </w:r>
      <w:r w:rsidR="00A37F02" w:rsidRPr="00A37F02">
        <w:rPr>
          <w:rFonts w:ascii="Calibri" w:hAnsi="Calibri" w:cs="Calibri"/>
          <w:b/>
          <w:sz w:val="22"/>
          <w:lang w:val="en-US"/>
        </w:rPr>
        <w:t>esis</w:t>
      </w:r>
      <w:r w:rsidR="004237B8" w:rsidRPr="00A37F02">
        <w:rPr>
          <w:rFonts w:ascii="Calibri" w:hAnsi="Calibri" w:cs="Calibri"/>
          <w:sz w:val="22"/>
          <w:lang w:val="en-US"/>
        </w:rPr>
        <w:t> :</w:t>
      </w:r>
      <w:proofErr w:type="gramEnd"/>
    </w:p>
    <w:p w:rsidR="001D2618" w:rsidRPr="003F4663" w:rsidRDefault="00FE5DAE" w:rsidP="001D2618">
      <w:pPr>
        <w:widowControl/>
        <w:suppressAutoHyphens w:val="0"/>
        <w:autoSpaceDE w:val="0"/>
        <w:adjustRightInd w:val="0"/>
        <w:jc w:val="both"/>
        <w:textAlignment w:val="auto"/>
        <w:rPr>
          <w:rFonts w:ascii="Calibri" w:hAnsi="Calibri" w:cs="Calibri" w:hint="eastAsia"/>
          <w:sz w:val="22"/>
          <w:lang w:val="en-US"/>
        </w:rPr>
      </w:pPr>
      <w:r w:rsidRPr="00A37F02">
        <w:rPr>
          <w:rFonts w:ascii="Calibri" w:hAnsi="Calibri" w:cs="Calibri"/>
          <w:sz w:val="22"/>
          <w:lang w:val="en-US"/>
        </w:rPr>
        <w:t xml:space="preserve">This report </w:t>
      </w:r>
      <w:r w:rsidR="00F738B3" w:rsidRPr="00A37F02">
        <w:rPr>
          <w:rFonts w:ascii="Calibri" w:hAnsi="Calibri" w:cs="Calibri"/>
          <w:sz w:val="22"/>
          <w:lang w:val="en-US"/>
        </w:rPr>
        <w:t>does not represent</w:t>
      </w:r>
      <w:r w:rsidRPr="00A37F02">
        <w:rPr>
          <w:rFonts w:ascii="Calibri" w:hAnsi="Calibri" w:cs="Calibri"/>
          <w:sz w:val="22"/>
          <w:lang w:val="en-US"/>
        </w:rPr>
        <w:t xml:space="preserve"> government policy</w:t>
      </w:r>
      <w:r w:rsidR="003F4663">
        <w:rPr>
          <w:rFonts w:ascii="Calibri" w:hAnsi="Calibri" w:cs="Calibri"/>
          <w:sz w:val="22"/>
          <w:lang w:val="en-US"/>
        </w:rPr>
        <w:t xml:space="preserve"> but the result of </w:t>
      </w:r>
      <w:r w:rsidR="001D2618">
        <w:rPr>
          <w:rFonts w:ascii="Calibri" w:hAnsi="Calibri" w:cs="Calibri"/>
          <w:sz w:val="22"/>
          <w:lang w:val="en-US"/>
        </w:rPr>
        <w:t xml:space="preserve">collegial </w:t>
      </w:r>
      <w:r w:rsidR="003F4663">
        <w:rPr>
          <w:rFonts w:ascii="Calibri" w:hAnsi="Calibri" w:cs="Calibri"/>
          <w:sz w:val="22"/>
          <w:lang w:val="en-US"/>
        </w:rPr>
        <w:t xml:space="preserve">discussion and exploration of possible option for reform of the EU ETS. </w:t>
      </w:r>
      <w:r w:rsidR="001D2618">
        <w:rPr>
          <w:rFonts w:ascii="Calibri" w:hAnsi="Calibri" w:cs="Calibri"/>
          <w:sz w:val="22"/>
          <w:lang w:val="en-US"/>
        </w:rPr>
        <w:t>Advantages/Disadvantages</w:t>
      </w:r>
      <w:r w:rsidR="00A37F02">
        <w:rPr>
          <w:rFonts w:ascii="Calibri" w:hAnsi="Calibri" w:cs="Calibri"/>
          <w:sz w:val="22"/>
          <w:lang w:val="en-US"/>
        </w:rPr>
        <w:t xml:space="preserve"> of each </w:t>
      </w:r>
      <w:r w:rsidR="007C42C4">
        <w:rPr>
          <w:rFonts w:ascii="Calibri" w:hAnsi="Calibri" w:cs="Calibri"/>
          <w:sz w:val="22"/>
          <w:lang w:val="en-US"/>
        </w:rPr>
        <w:t xml:space="preserve">of triggers discussed by about thirty people from different horizons (public/private sector </w:t>
      </w:r>
      <w:r w:rsidR="00172BE7">
        <w:rPr>
          <w:rFonts w:ascii="Calibri" w:hAnsi="Calibri" w:cs="Calibri"/>
          <w:sz w:val="22"/>
          <w:lang w:val="en-US"/>
        </w:rPr>
        <w:t>– industry/finance/organization)</w:t>
      </w:r>
      <w:r w:rsidR="001D2618">
        <w:rPr>
          <w:rFonts w:ascii="Calibri" w:hAnsi="Calibri" w:cs="Calibri"/>
          <w:sz w:val="22"/>
          <w:lang w:val="en-US"/>
        </w:rPr>
        <w:t xml:space="preserve"> are described for the four identified triggers</w:t>
      </w:r>
      <w:r w:rsidR="001D2618" w:rsidRPr="003F4663">
        <w:rPr>
          <w:rFonts w:ascii="Calibri" w:hAnsi="Calibri" w:cs="Calibri"/>
          <w:sz w:val="22"/>
          <w:lang w:val="en-US"/>
        </w:rPr>
        <w:t xml:space="preserve"> to achieve objectives(providing a more stable low carbon investment signal, increasing resilience and predict</w:t>
      </w:r>
      <w:r w:rsidR="001D2618" w:rsidRPr="003F4663">
        <w:rPr>
          <w:rFonts w:ascii="Calibri" w:hAnsi="Calibri" w:cs="Calibri"/>
          <w:sz w:val="22"/>
          <w:lang w:val="en-US"/>
        </w:rPr>
        <w:t>a</w:t>
      </w:r>
      <w:r w:rsidR="001D2618" w:rsidRPr="003F4663">
        <w:rPr>
          <w:rFonts w:ascii="Calibri" w:hAnsi="Calibri" w:cs="Calibri"/>
          <w:sz w:val="22"/>
          <w:lang w:val="en-US"/>
        </w:rPr>
        <w:t xml:space="preserve">bility of response to external shocks, and addressing the surplus) : </w:t>
      </w:r>
    </w:p>
    <w:p w:rsidR="001D2618" w:rsidRPr="003F4663" w:rsidRDefault="001D2618" w:rsidP="001D2618">
      <w:pPr>
        <w:pStyle w:val="Default"/>
        <w:numPr>
          <w:ilvl w:val="0"/>
          <w:numId w:val="2"/>
        </w:numPr>
        <w:spacing w:after="55"/>
        <w:rPr>
          <w:rFonts w:ascii="Calibri" w:hAnsi="Calibri" w:cs="Calibri"/>
          <w:color w:val="auto"/>
          <w:kern w:val="3"/>
          <w:sz w:val="22"/>
          <w:lang w:val="en-US" w:bidi="hi-IN"/>
        </w:rPr>
      </w:pPr>
      <w:r w:rsidRPr="003F4663">
        <w:rPr>
          <w:rFonts w:ascii="Calibri" w:hAnsi="Calibri" w:cs="Calibri"/>
          <w:color w:val="auto"/>
          <w:kern w:val="3"/>
          <w:sz w:val="22"/>
          <w:lang w:val="en-US" w:bidi="hi-IN"/>
        </w:rPr>
        <w:t xml:space="preserve">Surplus maximum and minimum threshold </w:t>
      </w:r>
    </w:p>
    <w:p w:rsidR="001D2618" w:rsidRPr="003F4663" w:rsidRDefault="001D2618" w:rsidP="001D2618">
      <w:pPr>
        <w:pStyle w:val="Default"/>
        <w:numPr>
          <w:ilvl w:val="0"/>
          <w:numId w:val="2"/>
        </w:numPr>
        <w:spacing w:after="55"/>
        <w:rPr>
          <w:rFonts w:ascii="Calibri" w:hAnsi="Calibri" w:cs="Calibri"/>
          <w:color w:val="auto"/>
          <w:kern w:val="3"/>
          <w:sz w:val="22"/>
          <w:lang w:val="en-US" w:bidi="hi-IN"/>
        </w:rPr>
      </w:pPr>
      <w:r w:rsidRPr="003F4663">
        <w:rPr>
          <w:rFonts w:ascii="Calibri" w:hAnsi="Calibri" w:cs="Calibri"/>
          <w:color w:val="auto"/>
          <w:kern w:val="3"/>
          <w:sz w:val="22"/>
          <w:lang w:val="en-US" w:bidi="hi-IN"/>
        </w:rPr>
        <w:t xml:space="preserve">Surplus maximum threshold and price ceiling or maximum price rise </w:t>
      </w:r>
    </w:p>
    <w:p w:rsidR="001D2618" w:rsidRPr="003F4663" w:rsidRDefault="001D2618" w:rsidP="001D2618">
      <w:pPr>
        <w:pStyle w:val="Default"/>
        <w:numPr>
          <w:ilvl w:val="0"/>
          <w:numId w:val="2"/>
        </w:numPr>
        <w:spacing w:after="55"/>
        <w:rPr>
          <w:rFonts w:ascii="Calibri" w:hAnsi="Calibri" w:cs="Calibri"/>
          <w:color w:val="auto"/>
          <w:kern w:val="3"/>
          <w:sz w:val="22"/>
          <w:lang w:val="en-US" w:bidi="hi-IN"/>
        </w:rPr>
      </w:pPr>
      <w:r w:rsidRPr="003F4663">
        <w:rPr>
          <w:rFonts w:ascii="Calibri" w:hAnsi="Calibri" w:cs="Calibri"/>
          <w:color w:val="auto"/>
          <w:kern w:val="3"/>
          <w:sz w:val="22"/>
          <w:lang w:val="en-US" w:bidi="hi-IN"/>
        </w:rPr>
        <w:t xml:space="preserve">Price ceiling and price floor </w:t>
      </w:r>
    </w:p>
    <w:p w:rsidR="001D2618" w:rsidRPr="003F4663" w:rsidRDefault="001D2618" w:rsidP="001D2618">
      <w:pPr>
        <w:pStyle w:val="Default"/>
        <w:numPr>
          <w:ilvl w:val="0"/>
          <w:numId w:val="2"/>
        </w:numPr>
        <w:rPr>
          <w:rFonts w:ascii="Calibri" w:hAnsi="Calibri" w:cs="Calibri"/>
          <w:color w:val="auto"/>
          <w:kern w:val="3"/>
          <w:sz w:val="22"/>
          <w:lang w:val="en-US" w:bidi="hi-IN"/>
        </w:rPr>
      </w:pPr>
      <w:r w:rsidRPr="003F4663">
        <w:rPr>
          <w:rFonts w:ascii="Calibri" w:hAnsi="Calibri" w:cs="Calibri"/>
          <w:color w:val="auto"/>
          <w:kern w:val="3"/>
          <w:sz w:val="22"/>
          <w:lang w:val="en-US" w:bidi="hi-IN"/>
        </w:rPr>
        <w:t xml:space="preserve">Deviation of economic indicators from expected level (e.g. GDP or production) </w:t>
      </w:r>
    </w:p>
    <w:p w:rsidR="001D2618" w:rsidRPr="003F4663" w:rsidRDefault="001D2618" w:rsidP="001D2618">
      <w:pPr>
        <w:spacing w:line="276" w:lineRule="auto"/>
        <w:jc w:val="both"/>
        <w:rPr>
          <w:rFonts w:ascii="Calibri" w:hAnsi="Calibri" w:cs="Calibri" w:hint="eastAsia"/>
          <w:sz w:val="22"/>
          <w:lang w:val="en-US"/>
        </w:rPr>
      </w:pPr>
      <w:r w:rsidRPr="003F4663">
        <w:rPr>
          <w:rFonts w:ascii="Calibri" w:hAnsi="Calibri" w:cs="Calibri"/>
          <w:sz w:val="22"/>
          <w:lang w:val="en-US"/>
        </w:rPr>
        <w:t xml:space="preserve">All these schemes are </w:t>
      </w:r>
      <w:r w:rsidRPr="003F4663">
        <w:rPr>
          <w:rFonts w:ascii="Calibri" w:hAnsi="Calibri" w:cs="Calibri" w:hint="eastAsia"/>
          <w:sz w:val="22"/>
          <w:lang w:val="en-US"/>
        </w:rPr>
        <w:t>developed</w:t>
      </w:r>
      <w:r w:rsidRPr="003F4663">
        <w:rPr>
          <w:rFonts w:ascii="Calibri" w:hAnsi="Calibri" w:cs="Calibri"/>
          <w:sz w:val="22"/>
          <w:lang w:val="en-US"/>
        </w:rPr>
        <w:t xml:space="preserve"> in </w:t>
      </w:r>
      <w:proofErr w:type="spellStart"/>
      <w:r w:rsidRPr="003F4663">
        <w:rPr>
          <w:rFonts w:ascii="Calibri" w:hAnsi="Calibri" w:cs="Calibri"/>
          <w:sz w:val="22"/>
          <w:lang w:val="en-US"/>
        </w:rPr>
        <w:t>favour</w:t>
      </w:r>
      <w:proofErr w:type="spellEnd"/>
      <w:r w:rsidRPr="003F4663">
        <w:rPr>
          <w:rFonts w:ascii="Calibri" w:hAnsi="Calibri" w:cs="Calibri"/>
          <w:sz w:val="22"/>
          <w:lang w:val="en-US"/>
        </w:rPr>
        <w:t xml:space="preserve"> of an adjustment of the EU ETS cap to align it with EU emissions reductions targets for 2030 and 2050 and cancellation of an ambitious volume of allowances to reduce the existing surplus and help restore the balance between supply and demand</w:t>
      </w:r>
    </w:p>
    <w:p w:rsidR="001D2618" w:rsidRPr="00A37F02" w:rsidRDefault="001D2618" w:rsidP="00124CC1">
      <w:pPr>
        <w:widowControl/>
        <w:suppressAutoHyphens w:val="0"/>
        <w:autoSpaceDE w:val="0"/>
        <w:adjustRightInd w:val="0"/>
        <w:jc w:val="both"/>
        <w:textAlignment w:val="auto"/>
        <w:rPr>
          <w:rFonts w:ascii="Calibri" w:hAnsi="Calibri" w:cs="Calibri"/>
          <w:sz w:val="22"/>
          <w:lang w:val="en-US"/>
        </w:rPr>
      </w:pPr>
    </w:p>
    <w:p w:rsidR="002C1B5F" w:rsidRPr="00A37F02" w:rsidRDefault="002C1B5F" w:rsidP="00124CC1">
      <w:pPr>
        <w:widowControl/>
        <w:suppressAutoHyphens w:val="0"/>
        <w:autoSpaceDE w:val="0"/>
        <w:adjustRightInd w:val="0"/>
        <w:jc w:val="both"/>
        <w:textAlignment w:val="auto"/>
        <w:rPr>
          <w:rFonts w:hint="eastAsia"/>
          <w:lang w:val="en-US"/>
        </w:rPr>
      </w:pPr>
    </w:p>
    <w:p w:rsidR="00CE1F4D" w:rsidRPr="0092376D" w:rsidRDefault="00CE1F4D" w:rsidP="00585D30">
      <w:pPr>
        <w:spacing w:line="276" w:lineRule="auto"/>
        <w:jc w:val="center"/>
        <w:rPr>
          <w:rFonts w:ascii="Garamond" w:hAnsi="Garamond"/>
          <w:b/>
          <w:lang w:val="en-US"/>
        </w:rPr>
      </w:pPr>
      <w:r>
        <w:rPr>
          <w:rFonts w:ascii="Garamond" w:hAnsi="Garamond"/>
          <w:b/>
          <w:lang w:val="en-US"/>
        </w:rPr>
        <w:t xml:space="preserve">Arguments for and </w:t>
      </w:r>
      <w:r w:rsidR="007F1709">
        <w:rPr>
          <w:rFonts w:ascii="Garamond" w:hAnsi="Garamond"/>
          <w:b/>
          <w:lang w:val="en-US"/>
        </w:rPr>
        <w:t>against a minimum carbon price</w:t>
      </w:r>
    </w:p>
    <w:tbl>
      <w:tblPr>
        <w:tblStyle w:val="Grilledutableau"/>
        <w:tblW w:w="10031" w:type="dxa"/>
        <w:tblLook w:val="04A0"/>
      </w:tblPr>
      <w:tblGrid>
        <w:gridCol w:w="5070"/>
        <w:gridCol w:w="4961"/>
      </w:tblGrid>
      <w:tr w:rsidR="00CE1F4D" w:rsidRPr="00614771" w:rsidTr="00447E9E">
        <w:tc>
          <w:tcPr>
            <w:tcW w:w="5070" w:type="dxa"/>
            <w:vAlign w:val="center"/>
          </w:tcPr>
          <w:p w:rsidR="00CE1F4D" w:rsidRPr="00614771" w:rsidRDefault="00CE1F4D" w:rsidP="00447E9E">
            <w:pPr>
              <w:rPr>
                <w:rFonts w:ascii="Garamond" w:hAnsi="Garamond"/>
                <w:b/>
                <w:lang w:val="en-US"/>
              </w:rPr>
            </w:pPr>
            <w:r w:rsidRPr="00614771">
              <w:rPr>
                <w:rFonts w:ascii="Garamond" w:hAnsi="Garamond"/>
                <w:b/>
                <w:lang w:val="en-US"/>
              </w:rPr>
              <w:t>FOR</w:t>
            </w:r>
          </w:p>
        </w:tc>
        <w:tc>
          <w:tcPr>
            <w:tcW w:w="4961" w:type="dxa"/>
            <w:vAlign w:val="center"/>
          </w:tcPr>
          <w:p w:rsidR="00CE1F4D" w:rsidRPr="00614771" w:rsidRDefault="00CE1F4D" w:rsidP="00447E9E">
            <w:pPr>
              <w:rPr>
                <w:rFonts w:ascii="Garamond" w:hAnsi="Garamond"/>
                <w:b/>
                <w:lang w:val="en-US"/>
              </w:rPr>
            </w:pPr>
            <w:r w:rsidRPr="00614771">
              <w:rPr>
                <w:rFonts w:ascii="Garamond" w:hAnsi="Garamond"/>
                <w:b/>
                <w:lang w:val="en-US"/>
              </w:rPr>
              <w:t>AGAINST</w:t>
            </w:r>
          </w:p>
        </w:tc>
      </w:tr>
      <w:tr w:rsidR="000C6ABE" w:rsidRPr="003F4663" w:rsidTr="00447E9E">
        <w:trPr>
          <w:trHeight w:val="633"/>
        </w:trPr>
        <w:tc>
          <w:tcPr>
            <w:tcW w:w="5070" w:type="dxa"/>
            <w:vAlign w:val="center"/>
          </w:tcPr>
          <w:p w:rsidR="000C6ABE" w:rsidRPr="000E10C3" w:rsidRDefault="000C6ABE" w:rsidP="00447E9E">
            <w:pPr>
              <w:rPr>
                <w:rFonts w:ascii="Garamond" w:hAnsi="Garamond"/>
                <w:lang w:val="en-US"/>
              </w:rPr>
            </w:pPr>
            <w:r w:rsidRPr="000E10C3">
              <w:rPr>
                <w:rFonts w:ascii="Garamond" w:hAnsi="Garamond"/>
                <w:lang w:val="en-US"/>
              </w:rPr>
              <w:t>“</w:t>
            </w:r>
            <w:r w:rsidR="00153EF7" w:rsidRPr="000E10C3">
              <w:rPr>
                <w:rFonts w:ascii="Garamond" w:hAnsi="Garamond"/>
                <w:lang w:val="en-US"/>
              </w:rPr>
              <w:t>Most economically efficient option</w:t>
            </w:r>
            <w:r w:rsidRPr="000E10C3">
              <w:rPr>
                <w:rFonts w:ascii="Garamond" w:hAnsi="Garamond"/>
                <w:lang w:val="en-US"/>
              </w:rPr>
              <w:t xml:space="preserve">” </w:t>
            </w:r>
            <w:r w:rsidR="00153EF7" w:rsidRPr="000E10C3">
              <w:rPr>
                <w:rFonts w:ascii="Garamond" w:hAnsi="Garamond"/>
                <w:lang w:val="en-US"/>
              </w:rPr>
              <w:t>compare to others proposals in the paper</w:t>
            </w:r>
            <w:r w:rsidR="000E10C3" w:rsidRPr="000E10C3">
              <w:rPr>
                <w:rFonts w:ascii="Garamond" w:hAnsi="Garamond"/>
                <w:lang w:val="en-US"/>
              </w:rPr>
              <w:t xml:space="preserve"> (p6)</w:t>
            </w:r>
          </w:p>
        </w:tc>
        <w:tc>
          <w:tcPr>
            <w:tcW w:w="4961" w:type="dxa"/>
            <w:vAlign w:val="center"/>
          </w:tcPr>
          <w:p w:rsidR="000C6ABE" w:rsidRPr="00447E9E" w:rsidRDefault="00447E9E" w:rsidP="00447E9E">
            <w:pPr>
              <w:pStyle w:val="Default"/>
              <w:rPr>
                <w:rFonts w:ascii="Garamond" w:hAnsi="Garamond" w:cstheme="minorBidi"/>
                <w:color w:val="auto"/>
                <w:lang w:val="en-US"/>
              </w:rPr>
            </w:pPr>
            <w:r w:rsidRPr="00447E9E">
              <w:rPr>
                <w:rFonts w:ascii="Garamond" w:hAnsi="Garamond" w:cstheme="minorBidi"/>
                <w:color w:val="auto"/>
                <w:lang w:val="en-US"/>
              </w:rPr>
              <w:t>“Politically undo-able (similar to TAX) / Difficulty of negotiating” (p6)</w:t>
            </w:r>
          </w:p>
        </w:tc>
      </w:tr>
      <w:tr w:rsidR="00825BCF" w:rsidRPr="003F4663" w:rsidTr="00447E9E">
        <w:trPr>
          <w:trHeight w:val="571"/>
        </w:trPr>
        <w:tc>
          <w:tcPr>
            <w:tcW w:w="5070" w:type="dxa"/>
            <w:vAlign w:val="center"/>
          </w:tcPr>
          <w:p w:rsidR="00825BCF" w:rsidRPr="000E10C3" w:rsidRDefault="00825BCF" w:rsidP="00447E9E">
            <w:pPr>
              <w:rPr>
                <w:rFonts w:ascii="Garamond" w:hAnsi="Garamond"/>
                <w:lang w:val="en-US"/>
              </w:rPr>
            </w:pPr>
            <w:r w:rsidRPr="000E10C3">
              <w:rPr>
                <w:rFonts w:ascii="Garamond" w:hAnsi="Garamond"/>
                <w:lang w:val="en-US"/>
              </w:rPr>
              <w:t>“</w:t>
            </w:r>
            <w:r w:rsidR="000E10C3" w:rsidRPr="000E10C3">
              <w:rPr>
                <w:rFonts w:ascii="Garamond" w:hAnsi="Garamond"/>
                <w:lang w:val="en-US"/>
              </w:rPr>
              <w:t xml:space="preserve">Greater certainty for investment decisions, and over government revenues, akin to a carbon tax </w:t>
            </w:r>
            <w:r w:rsidR="00124CC1" w:rsidRPr="000E10C3">
              <w:rPr>
                <w:rFonts w:ascii="Garamond" w:hAnsi="Garamond"/>
                <w:lang w:val="en-US"/>
              </w:rPr>
              <w:t>”</w:t>
            </w:r>
            <w:r w:rsidR="000E10C3">
              <w:rPr>
                <w:rFonts w:ascii="Garamond" w:hAnsi="Garamond"/>
                <w:lang w:val="en-US"/>
              </w:rPr>
              <w:t xml:space="preserve"> (p6)</w:t>
            </w:r>
          </w:p>
        </w:tc>
        <w:tc>
          <w:tcPr>
            <w:tcW w:w="4961" w:type="dxa"/>
            <w:vAlign w:val="center"/>
          </w:tcPr>
          <w:p w:rsidR="00825BCF" w:rsidRPr="000E10C3" w:rsidRDefault="00447E9E" w:rsidP="00447E9E">
            <w:pPr>
              <w:pStyle w:val="Default"/>
              <w:rPr>
                <w:rFonts w:ascii="Garamond" w:hAnsi="Garamond"/>
                <w:lang w:val="en-US"/>
              </w:rPr>
            </w:pPr>
            <w:r w:rsidRPr="00447E9E">
              <w:rPr>
                <w:rFonts w:ascii="Garamond" w:hAnsi="Garamond" w:cstheme="minorBidi"/>
                <w:color w:val="auto"/>
                <w:lang w:val="en-US"/>
              </w:rPr>
              <w:t>“Furthest away from market-based system, particularly if collar too narrow” (p6)</w:t>
            </w:r>
          </w:p>
        </w:tc>
      </w:tr>
      <w:tr w:rsidR="000C6ABE" w:rsidRPr="003F4663" w:rsidTr="00447E9E">
        <w:tc>
          <w:tcPr>
            <w:tcW w:w="5070" w:type="dxa"/>
            <w:vAlign w:val="center"/>
          </w:tcPr>
          <w:p w:rsidR="000C6ABE" w:rsidRPr="003F4663" w:rsidRDefault="000C6ABE" w:rsidP="003F4663">
            <w:pPr>
              <w:pStyle w:val="Default"/>
              <w:rPr>
                <w:rFonts w:ascii="Garamond" w:hAnsi="Garamond" w:cstheme="minorBidi"/>
                <w:color w:val="auto"/>
                <w:lang w:val="en-US"/>
              </w:rPr>
            </w:pPr>
            <w:r w:rsidRPr="003F4663">
              <w:rPr>
                <w:rFonts w:ascii="Garamond" w:hAnsi="Garamond" w:cstheme="minorBidi"/>
                <w:color w:val="auto"/>
                <w:lang w:val="en-US"/>
              </w:rPr>
              <w:t>“</w:t>
            </w:r>
            <w:r w:rsidR="000E10C3" w:rsidRPr="003F4663">
              <w:rPr>
                <w:rFonts w:ascii="Garamond" w:hAnsi="Garamond" w:cstheme="minorBidi"/>
                <w:color w:val="auto"/>
                <w:lang w:val="en-US"/>
              </w:rPr>
              <w:t>Provide st</w:t>
            </w:r>
            <w:r w:rsidR="003F4663">
              <w:rPr>
                <w:rFonts w:ascii="Garamond" w:hAnsi="Garamond" w:cstheme="minorBidi"/>
                <w:color w:val="auto"/>
                <w:lang w:val="en-US"/>
              </w:rPr>
              <w:t>able signal for investment and c</w:t>
            </w:r>
            <w:r w:rsidR="000E10C3" w:rsidRPr="003F4663">
              <w:rPr>
                <w:rFonts w:ascii="Garamond" w:hAnsi="Garamond" w:cstheme="minorBidi"/>
                <w:color w:val="auto"/>
                <w:lang w:val="en-US"/>
              </w:rPr>
              <w:t>over risk pr</w:t>
            </w:r>
            <w:r w:rsidR="000E10C3" w:rsidRPr="003F4663">
              <w:rPr>
                <w:rFonts w:ascii="Garamond" w:hAnsi="Garamond" w:cstheme="minorBidi"/>
                <w:color w:val="auto"/>
                <w:lang w:val="en-US"/>
              </w:rPr>
              <w:t>e</w:t>
            </w:r>
            <w:r w:rsidR="000E10C3" w:rsidRPr="003F4663">
              <w:rPr>
                <w:rFonts w:ascii="Garamond" w:hAnsi="Garamond" w:cstheme="minorBidi"/>
                <w:color w:val="auto"/>
                <w:lang w:val="en-US"/>
              </w:rPr>
              <w:t xml:space="preserve">miums </w:t>
            </w:r>
            <w:r w:rsidRPr="003F4663">
              <w:rPr>
                <w:rFonts w:ascii="Garamond" w:hAnsi="Garamond" w:cstheme="minorBidi"/>
                <w:color w:val="auto"/>
                <w:lang w:val="en-US"/>
              </w:rPr>
              <w:t>”</w:t>
            </w:r>
            <w:r w:rsidR="000E10C3" w:rsidRPr="003F4663">
              <w:rPr>
                <w:rFonts w:ascii="Garamond" w:hAnsi="Garamond" w:cstheme="minorBidi"/>
                <w:color w:val="auto"/>
                <w:lang w:val="en-US"/>
              </w:rPr>
              <w:t xml:space="preserve"> (p6)</w:t>
            </w:r>
          </w:p>
        </w:tc>
        <w:tc>
          <w:tcPr>
            <w:tcW w:w="4961" w:type="dxa"/>
            <w:vAlign w:val="center"/>
          </w:tcPr>
          <w:p w:rsidR="000C6ABE" w:rsidRPr="003F4663" w:rsidRDefault="000C6ABE" w:rsidP="003F4663">
            <w:pPr>
              <w:pStyle w:val="Default"/>
              <w:rPr>
                <w:rFonts w:ascii="Garamond" w:hAnsi="Garamond" w:cstheme="minorBidi"/>
                <w:color w:val="auto"/>
                <w:lang w:val="en-US"/>
              </w:rPr>
            </w:pPr>
            <w:r w:rsidRPr="003F4663">
              <w:rPr>
                <w:rFonts w:ascii="Garamond" w:hAnsi="Garamond" w:cstheme="minorBidi"/>
                <w:color w:val="auto"/>
                <w:lang w:val="en-US"/>
              </w:rPr>
              <w:t>“</w:t>
            </w:r>
            <w:r w:rsidR="00447E9E" w:rsidRPr="003F4663">
              <w:rPr>
                <w:rFonts w:ascii="Garamond" w:hAnsi="Garamond" w:cstheme="minorBidi"/>
                <w:color w:val="auto"/>
                <w:lang w:val="en-US"/>
              </w:rPr>
              <w:t>Loses short term benefit to industry of low prices</w:t>
            </w:r>
            <w:r w:rsidR="007F1709" w:rsidRPr="003F4663">
              <w:rPr>
                <w:rFonts w:ascii="Garamond" w:hAnsi="Garamond" w:cstheme="minorBidi"/>
                <w:color w:val="auto"/>
                <w:lang w:val="en-US"/>
              </w:rPr>
              <w:t xml:space="preserve">” </w:t>
            </w:r>
            <w:r w:rsidRPr="003F4663">
              <w:rPr>
                <w:rFonts w:ascii="Garamond" w:hAnsi="Garamond" w:cstheme="minorBidi"/>
                <w:color w:val="auto"/>
                <w:lang w:val="en-US"/>
              </w:rPr>
              <w:t>(p</w:t>
            </w:r>
            <w:r w:rsidR="00447E9E" w:rsidRPr="003F4663">
              <w:rPr>
                <w:rFonts w:ascii="Garamond" w:hAnsi="Garamond" w:cstheme="minorBidi"/>
                <w:color w:val="auto"/>
                <w:lang w:val="en-US"/>
              </w:rPr>
              <w:t>6</w:t>
            </w:r>
            <w:r w:rsidR="007F1709" w:rsidRPr="003F4663">
              <w:rPr>
                <w:rFonts w:ascii="Garamond" w:hAnsi="Garamond" w:cstheme="minorBidi"/>
                <w:color w:val="auto"/>
                <w:lang w:val="en-US"/>
              </w:rPr>
              <w:t xml:space="preserve">) </w:t>
            </w:r>
          </w:p>
        </w:tc>
      </w:tr>
      <w:tr w:rsidR="000C6ABE" w:rsidRPr="0035099B" w:rsidTr="009F0EEA">
        <w:tc>
          <w:tcPr>
            <w:tcW w:w="5070" w:type="dxa"/>
            <w:vAlign w:val="center"/>
          </w:tcPr>
          <w:p w:rsidR="000C6ABE" w:rsidRPr="003F4663" w:rsidRDefault="000C6ABE" w:rsidP="003F4663">
            <w:pPr>
              <w:pStyle w:val="Default"/>
              <w:rPr>
                <w:rFonts w:ascii="Garamond" w:hAnsi="Garamond" w:cstheme="minorBidi"/>
                <w:color w:val="auto"/>
                <w:lang w:val="en-US"/>
              </w:rPr>
            </w:pPr>
            <w:r w:rsidRPr="003F4663">
              <w:rPr>
                <w:rFonts w:ascii="Garamond" w:hAnsi="Garamond" w:cstheme="minorBidi"/>
                <w:color w:val="auto"/>
                <w:lang w:val="en-US"/>
              </w:rPr>
              <w:t>“</w:t>
            </w:r>
            <w:r w:rsidR="000E10C3" w:rsidRPr="003F4663">
              <w:rPr>
                <w:rFonts w:ascii="Garamond" w:hAnsi="Garamond" w:cstheme="minorBidi"/>
                <w:color w:val="auto"/>
                <w:lang w:val="en-US"/>
              </w:rPr>
              <w:t>Remove extreme downside price risk If prices much different than expected when level of ambition agreed politically</w:t>
            </w:r>
            <w:r w:rsidRPr="003F4663">
              <w:rPr>
                <w:rFonts w:ascii="Garamond" w:hAnsi="Garamond" w:cstheme="minorBidi"/>
                <w:color w:val="auto"/>
                <w:lang w:val="en-US"/>
              </w:rPr>
              <w:t>”</w:t>
            </w:r>
            <w:r w:rsidR="000E10C3" w:rsidRPr="003F4663">
              <w:rPr>
                <w:rFonts w:ascii="Garamond" w:hAnsi="Garamond" w:cstheme="minorBidi"/>
                <w:color w:val="auto"/>
                <w:lang w:val="en-US"/>
              </w:rPr>
              <w:t xml:space="preserve"> (p6)</w:t>
            </w:r>
          </w:p>
        </w:tc>
        <w:tc>
          <w:tcPr>
            <w:tcW w:w="4961" w:type="dxa"/>
          </w:tcPr>
          <w:p w:rsidR="000C6ABE" w:rsidRPr="003F4663" w:rsidRDefault="000C6ABE" w:rsidP="009F0EEA">
            <w:pPr>
              <w:pStyle w:val="Default"/>
              <w:rPr>
                <w:rFonts w:ascii="Garamond" w:hAnsi="Garamond" w:cstheme="minorBidi"/>
                <w:color w:val="auto"/>
                <w:lang w:val="en-US"/>
              </w:rPr>
            </w:pPr>
            <w:r w:rsidRPr="003F4663">
              <w:rPr>
                <w:rFonts w:ascii="Garamond" w:hAnsi="Garamond" w:cstheme="minorBidi"/>
                <w:color w:val="auto"/>
                <w:lang w:val="en-US"/>
              </w:rPr>
              <w:t>“</w:t>
            </w:r>
            <w:r w:rsidR="0035099B" w:rsidRPr="009F0EEA">
              <w:rPr>
                <w:rFonts w:ascii="Garamond" w:hAnsi="Garamond" w:cstheme="minorBidi"/>
                <w:color w:val="auto"/>
                <w:lang w:val="en-US"/>
              </w:rPr>
              <w:t>Lack of impact if set too high or low.</w:t>
            </w:r>
            <w:r w:rsidRPr="003F4663">
              <w:rPr>
                <w:rFonts w:ascii="Garamond" w:hAnsi="Garamond" w:cstheme="minorBidi"/>
                <w:color w:val="auto"/>
                <w:lang w:val="en-US"/>
              </w:rPr>
              <w:t>” (p</w:t>
            </w:r>
            <w:r w:rsidR="00447E9E" w:rsidRPr="003F4663">
              <w:rPr>
                <w:rFonts w:ascii="Garamond" w:hAnsi="Garamond" w:cstheme="minorBidi"/>
                <w:color w:val="auto"/>
                <w:lang w:val="en-US"/>
              </w:rPr>
              <w:t>6</w:t>
            </w:r>
            <w:r w:rsidRPr="003F4663">
              <w:rPr>
                <w:rFonts w:ascii="Garamond" w:hAnsi="Garamond" w:cstheme="minorBidi"/>
                <w:color w:val="auto"/>
                <w:lang w:val="en-US"/>
              </w:rPr>
              <w:t>)</w:t>
            </w:r>
          </w:p>
        </w:tc>
      </w:tr>
      <w:tr w:rsidR="000C6ABE" w:rsidRPr="00503747" w:rsidTr="009F0EEA">
        <w:trPr>
          <w:trHeight w:val="743"/>
        </w:trPr>
        <w:tc>
          <w:tcPr>
            <w:tcW w:w="5070" w:type="dxa"/>
          </w:tcPr>
          <w:p w:rsidR="000C6ABE" w:rsidRPr="000E10C3" w:rsidRDefault="000E10C3" w:rsidP="009F0EEA">
            <w:pPr>
              <w:pStyle w:val="Default"/>
              <w:rPr>
                <w:lang w:val="en-US"/>
              </w:rPr>
            </w:pPr>
            <w:r w:rsidRPr="000E10C3">
              <w:rPr>
                <w:rFonts w:ascii="Garamond" w:hAnsi="Garamond"/>
                <w:lang w:val="en-US"/>
              </w:rPr>
              <w:t>“Price certainty of some kind would at least get inves</w:t>
            </w:r>
            <w:r w:rsidRPr="000E10C3">
              <w:rPr>
                <w:rFonts w:ascii="Garamond" w:hAnsi="Garamond"/>
                <w:lang w:val="en-US"/>
              </w:rPr>
              <w:t>t</w:t>
            </w:r>
            <w:r w:rsidRPr="000E10C3">
              <w:rPr>
                <w:rFonts w:ascii="Garamond" w:hAnsi="Garamond"/>
                <w:lang w:val="en-US"/>
              </w:rPr>
              <w:t>ment in low carbon industry going”</w:t>
            </w:r>
            <w:r>
              <w:rPr>
                <w:rFonts w:ascii="Garamond" w:hAnsi="Garamond"/>
                <w:lang w:val="en-US"/>
              </w:rPr>
              <w:t xml:space="preserve"> (p6)</w:t>
            </w:r>
          </w:p>
        </w:tc>
        <w:tc>
          <w:tcPr>
            <w:tcW w:w="4961" w:type="dxa"/>
          </w:tcPr>
          <w:p w:rsidR="000C6ABE" w:rsidRPr="00503747" w:rsidRDefault="00825BCF" w:rsidP="009F0EEA">
            <w:pPr>
              <w:pStyle w:val="Default"/>
              <w:rPr>
                <w:lang w:val="en-US"/>
              </w:rPr>
            </w:pPr>
            <w:r w:rsidRPr="009F0EEA">
              <w:rPr>
                <w:rFonts w:ascii="Garamond" w:hAnsi="Garamond" w:cstheme="minorBidi"/>
                <w:color w:val="auto"/>
                <w:lang w:val="en-US"/>
              </w:rPr>
              <w:t>“</w:t>
            </w:r>
            <w:r w:rsidR="00503747" w:rsidRPr="009F0EEA">
              <w:rPr>
                <w:rFonts w:ascii="Garamond" w:hAnsi="Garamond" w:cstheme="minorBidi"/>
                <w:color w:val="auto"/>
                <w:lang w:val="en-US"/>
              </w:rPr>
              <w:t>Need to set band wide enough</w:t>
            </w:r>
            <w:r w:rsidR="009F0EEA" w:rsidRPr="009F0EEA">
              <w:rPr>
                <w:rFonts w:ascii="Garamond" w:hAnsi="Garamond" w:cstheme="minorBidi"/>
                <w:color w:val="auto"/>
                <w:lang w:val="en-US"/>
              </w:rPr>
              <w:t xml:space="preserve"> (price ceiling and price floor).</w:t>
            </w:r>
            <w:r w:rsidR="00503747" w:rsidRPr="009F0EEA">
              <w:rPr>
                <w:rFonts w:ascii="Garamond" w:hAnsi="Garamond" w:cstheme="minorBidi"/>
                <w:color w:val="auto"/>
                <w:lang w:val="en-US"/>
              </w:rPr>
              <w:t xml:space="preserve"> </w:t>
            </w:r>
            <w:r w:rsidR="009F0EEA" w:rsidRPr="009F0EEA">
              <w:rPr>
                <w:rFonts w:ascii="Garamond" w:hAnsi="Garamond" w:cstheme="minorBidi"/>
                <w:color w:val="auto"/>
                <w:lang w:val="en-US"/>
              </w:rPr>
              <w:t>In case of narrow price corridor, use a carbon tax</w:t>
            </w:r>
            <w:r w:rsidRPr="009F0EEA">
              <w:rPr>
                <w:rFonts w:ascii="Garamond" w:hAnsi="Garamond" w:cstheme="minorBidi"/>
                <w:color w:val="auto"/>
                <w:lang w:val="en-US"/>
              </w:rPr>
              <w:t>”</w:t>
            </w:r>
            <w:r w:rsidR="00124CC1" w:rsidRPr="009F0EEA">
              <w:rPr>
                <w:rFonts w:ascii="Garamond" w:hAnsi="Garamond" w:cstheme="minorBidi"/>
                <w:color w:val="auto"/>
                <w:lang w:val="en-US"/>
              </w:rPr>
              <w:t xml:space="preserve"> (p13)</w:t>
            </w:r>
          </w:p>
        </w:tc>
      </w:tr>
    </w:tbl>
    <w:p w:rsidR="001A78F8" w:rsidRPr="00503747" w:rsidRDefault="001A78F8" w:rsidP="00124CC1">
      <w:pPr>
        <w:spacing w:line="276" w:lineRule="auto"/>
        <w:jc w:val="both"/>
        <w:rPr>
          <w:rFonts w:asciiTheme="minorHAnsi" w:hAnsiTheme="minorHAnsi" w:cstheme="minorHAnsi"/>
          <w:lang w:val="en-US"/>
        </w:rPr>
      </w:pPr>
    </w:p>
    <w:p w:rsidR="009F0EEA" w:rsidRDefault="009F0EEA">
      <w:pPr>
        <w:rPr>
          <w:rFonts w:asciiTheme="minorHAnsi" w:hAnsiTheme="minorHAnsi" w:cstheme="minorHAnsi"/>
          <w:lang w:val="en-US"/>
        </w:rPr>
      </w:pPr>
      <w:r>
        <w:rPr>
          <w:rFonts w:asciiTheme="minorHAnsi" w:hAnsiTheme="minorHAnsi" w:cstheme="minorHAnsi"/>
          <w:lang w:val="en-US"/>
        </w:rPr>
        <w:br w:type="page"/>
      </w:r>
    </w:p>
    <w:p w:rsidR="009F0EEA" w:rsidRPr="009F0EEA" w:rsidRDefault="009F0EEA" w:rsidP="009F0EEA">
      <w:pPr>
        <w:widowControl/>
        <w:suppressAutoHyphens w:val="0"/>
        <w:autoSpaceDE w:val="0"/>
        <w:adjustRightInd w:val="0"/>
        <w:textAlignment w:val="auto"/>
        <w:rPr>
          <w:rFonts w:asciiTheme="minorHAnsi" w:hAnsiTheme="minorHAnsi" w:cstheme="minorHAnsi"/>
          <w:b/>
          <w:i/>
          <w:color w:val="FF0000"/>
          <w:sz w:val="16"/>
          <w:lang w:val="en-US"/>
        </w:rPr>
      </w:pPr>
      <w:r w:rsidRPr="009F0EEA">
        <w:rPr>
          <w:rFonts w:asciiTheme="minorHAnsi" w:hAnsiTheme="minorHAnsi" w:cstheme="minorHAnsi" w:hint="eastAsia"/>
          <w:b/>
          <w:i/>
          <w:color w:val="FF0000"/>
          <w:sz w:val="16"/>
          <w:lang w:val="en-US"/>
        </w:rPr>
        <w:lastRenderedPageBreak/>
        <w:t>YES Shell David Hone.docx</w:t>
      </w:r>
    </w:p>
    <w:p w:rsidR="009F0EEA" w:rsidRDefault="009F0EEA" w:rsidP="009F0EEA">
      <w:pPr>
        <w:widowControl/>
        <w:suppressAutoHyphens w:val="0"/>
        <w:autoSpaceDE w:val="0"/>
        <w:adjustRightInd w:val="0"/>
        <w:jc w:val="both"/>
        <w:textAlignment w:val="auto"/>
        <w:rPr>
          <w:rFonts w:asciiTheme="minorHAnsi" w:hAnsiTheme="minorHAnsi" w:cstheme="minorHAnsi"/>
          <w:sz w:val="22"/>
          <w:szCs w:val="21"/>
          <w:lang w:val="en-US"/>
        </w:rPr>
      </w:pPr>
    </w:p>
    <w:p w:rsidR="009F0EEA" w:rsidRDefault="009F0EEA" w:rsidP="009F0EEA">
      <w:pPr>
        <w:widowControl/>
        <w:suppressAutoHyphens w:val="0"/>
        <w:autoSpaceDE w:val="0"/>
        <w:adjustRightInd w:val="0"/>
        <w:jc w:val="both"/>
        <w:textAlignment w:val="auto"/>
        <w:rPr>
          <w:rFonts w:asciiTheme="minorHAnsi" w:hAnsiTheme="minorHAnsi" w:cstheme="minorHAnsi"/>
          <w:sz w:val="22"/>
          <w:szCs w:val="21"/>
          <w:lang w:val="en-US"/>
        </w:rPr>
      </w:pPr>
    </w:p>
    <w:p w:rsidR="009F0EEA" w:rsidRDefault="009F0EEA" w:rsidP="009F0EEA">
      <w:pPr>
        <w:widowControl/>
        <w:suppressAutoHyphens w:val="0"/>
        <w:autoSpaceDE w:val="0"/>
        <w:adjustRightInd w:val="0"/>
        <w:jc w:val="both"/>
        <w:textAlignment w:val="auto"/>
        <w:rPr>
          <w:rFonts w:asciiTheme="minorHAnsi" w:hAnsiTheme="minorHAnsi" w:cstheme="minorHAnsi"/>
          <w:sz w:val="22"/>
          <w:szCs w:val="21"/>
          <w:lang w:val="en-US"/>
        </w:rPr>
      </w:pPr>
      <w:r>
        <w:rPr>
          <w:rFonts w:asciiTheme="minorHAnsi" w:hAnsiTheme="minorHAnsi" w:cstheme="minorHAnsi"/>
          <w:sz w:val="22"/>
          <w:szCs w:val="21"/>
          <w:lang w:val="en-US"/>
        </w:rPr>
        <w:t>_______________________________________________________________________________________</w:t>
      </w:r>
    </w:p>
    <w:p w:rsidR="009F0EEA" w:rsidRDefault="009F0EEA" w:rsidP="009F0EEA">
      <w:pPr>
        <w:widowControl/>
        <w:suppressAutoHyphens w:val="0"/>
        <w:autoSpaceDE w:val="0"/>
        <w:adjustRightInd w:val="0"/>
        <w:jc w:val="both"/>
        <w:textAlignment w:val="auto"/>
        <w:rPr>
          <w:rFonts w:asciiTheme="minorHAnsi" w:hAnsiTheme="minorHAnsi" w:cstheme="minorHAnsi"/>
          <w:sz w:val="22"/>
          <w:szCs w:val="21"/>
          <w:lang w:val="en-US"/>
        </w:rPr>
      </w:pPr>
      <w:r>
        <w:rPr>
          <w:rFonts w:asciiTheme="minorHAnsi" w:hAnsiTheme="minorHAnsi" w:cstheme="minorHAnsi"/>
          <w:sz w:val="22"/>
          <w:szCs w:val="21"/>
          <w:lang w:val="en-US"/>
        </w:rPr>
        <w:t>Hone</w:t>
      </w:r>
      <w:r w:rsidR="00095A0B">
        <w:rPr>
          <w:rFonts w:asciiTheme="minorHAnsi" w:hAnsiTheme="minorHAnsi" w:cstheme="minorHAnsi"/>
          <w:sz w:val="22"/>
          <w:szCs w:val="21"/>
          <w:lang w:val="en-US"/>
        </w:rPr>
        <w:t xml:space="preserve"> D.</w:t>
      </w:r>
      <w:r w:rsidR="00F07207">
        <w:rPr>
          <w:rFonts w:asciiTheme="minorHAnsi" w:hAnsiTheme="minorHAnsi" w:cstheme="minorHAnsi"/>
          <w:sz w:val="22"/>
          <w:szCs w:val="21"/>
          <w:lang w:val="en-US"/>
        </w:rPr>
        <w:t xml:space="preserve">, </w:t>
      </w:r>
      <w:r>
        <w:rPr>
          <w:rFonts w:asciiTheme="minorHAnsi" w:hAnsiTheme="minorHAnsi" w:cstheme="minorHAnsi"/>
          <w:sz w:val="22"/>
          <w:szCs w:val="21"/>
          <w:lang w:val="en-US"/>
        </w:rPr>
        <w:t>(Climate Change Advisor for Shell)</w:t>
      </w:r>
      <w:r w:rsidR="00095A0B" w:rsidRPr="00095A0B">
        <w:rPr>
          <w:rFonts w:asciiTheme="minorHAnsi" w:hAnsiTheme="minorHAnsi" w:cstheme="minorHAnsi"/>
          <w:sz w:val="22"/>
          <w:szCs w:val="21"/>
          <w:lang w:val="en-US"/>
        </w:rPr>
        <w:t xml:space="preserve"> </w:t>
      </w:r>
      <w:r w:rsidR="00095A0B">
        <w:rPr>
          <w:rFonts w:asciiTheme="minorHAnsi" w:hAnsiTheme="minorHAnsi" w:cstheme="minorHAnsi"/>
          <w:sz w:val="22"/>
          <w:szCs w:val="21"/>
          <w:lang w:val="en-US"/>
        </w:rPr>
        <w:t>7</w:t>
      </w:r>
      <w:r w:rsidR="00095A0B" w:rsidRPr="009F0EEA">
        <w:rPr>
          <w:rFonts w:asciiTheme="minorHAnsi" w:hAnsiTheme="minorHAnsi" w:cstheme="minorHAnsi"/>
          <w:sz w:val="22"/>
          <w:szCs w:val="21"/>
          <w:vertAlign w:val="superscript"/>
          <w:lang w:val="en-US"/>
        </w:rPr>
        <w:t>th</w:t>
      </w:r>
      <w:r w:rsidR="00095A0B">
        <w:rPr>
          <w:rFonts w:asciiTheme="minorHAnsi" w:hAnsiTheme="minorHAnsi" w:cstheme="minorHAnsi"/>
          <w:sz w:val="22"/>
          <w:szCs w:val="21"/>
          <w:lang w:val="en-US"/>
        </w:rPr>
        <w:t xml:space="preserve"> June</w:t>
      </w:r>
      <w:r w:rsidR="00095A0B" w:rsidRPr="00A37F02">
        <w:rPr>
          <w:rFonts w:asciiTheme="minorHAnsi" w:hAnsiTheme="minorHAnsi" w:cstheme="minorHAnsi"/>
          <w:sz w:val="22"/>
          <w:szCs w:val="21"/>
          <w:lang w:val="en-US"/>
        </w:rPr>
        <w:t xml:space="preserve"> 201</w:t>
      </w:r>
      <w:r w:rsidR="00095A0B">
        <w:rPr>
          <w:rFonts w:asciiTheme="minorHAnsi" w:hAnsiTheme="minorHAnsi" w:cstheme="minorHAnsi"/>
          <w:sz w:val="22"/>
          <w:szCs w:val="21"/>
          <w:lang w:val="en-US"/>
        </w:rPr>
        <w:t xml:space="preserve">2. </w:t>
      </w:r>
      <w:r w:rsidR="00F07207">
        <w:rPr>
          <w:rFonts w:asciiTheme="minorHAnsi" w:hAnsiTheme="minorHAnsi" w:cstheme="minorHAnsi"/>
          <w:sz w:val="22"/>
          <w:szCs w:val="21"/>
          <w:lang w:val="en-US"/>
        </w:rPr>
        <w:t xml:space="preserve">GB: </w:t>
      </w:r>
      <w:r>
        <w:rPr>
          <w:rFonts w:asciiTheme="minorHAnsi" w:hAnsiTheme="minorHAnsi" w:cstheme="minorHAnsi"/>
          <w:sz w:val="22"/>
          <w:szCs w:val="21"/>
          <w:lang w:val="en-US"/>
        </w:rPr>
        <w:t>A new market mechanism from the UNFCCC</w:t>
      </w:r>
      <w:r w:rsidR="00095A0B">
        <w:rPr>
          <w:rFonts w:asciiTheme="minorHAnsi" w:hAnsiTheme="minorHAnsi" w:cstheme="minorHAnsi"/>
          <w:sz w:val="22"/>
          <w:szCs w:val="21"/>
          <w:lang w:val="en-US"/>
        </w:rPr>
        <w:t xml:space="preserve">. </w:t>
      </w:r>
    </w:p>
    <w:p w:rsidR="00095A0B" w:rsidRDefault="00095A0B" w:rsidP="009F0EEA">
      <w:pPr>
        <w:widowControl/>
        <w:suppressAutoHyphens w:val="0"/>
        <w:autoSpaceDE w:val="0"/>
        <w:adjustRightInd w:val="0"/>
        <w:jc w:val="both"/>
        <w:textAlignment w:val="auto"/>
        <w:rPr>
          <w:rFonts w:asciiTheme="minorHAnsi" w:hAnsiTheme="minorHAnsi" w:cstheme="minorHAnsi"/>
          <w:sz w:val="22"/>
          <w:szCs w:val="21"/>
          <w:lang w:val="en-US"/>
        </w:rPr>
      </w:pPr>
    </w:p>
    <w:p w:rsidR="00095A0B" w:rsidRPr="00A37F02" w:rsidRDefault="00095A0B" w:rsidP="009F0EEA">
      <w:pPr>
        <w:widowControl/>
        <w:suppressAutoHyphens w:val="0"/>
        <w:autoSpaceDE w:val="0"/>
        <w:adjustRightInd w:val="0"/>
        <w:jc w:val="both"/>
        <w:textAlignment w:val="auto"/>
        <w:rPr>
          <w:rFonts w:hint="eastAsia"/>
          <w:lang w:val="en-US"/>
        </w:rPr>
      </w:pPr>
    </w:p>
    <w:p w:rsidR="009F0EEA" w:rsidRPr="0092376D" w:rsidRDefault="009F0EEA" w:rsidP="009F0EEA">
      <w:pPr>
        <w:spacing w:line="276" w:lineRule="auto"/>
        <w:jc w:val="center"/>
        <w:rPr>
          <w:rFonts w:ascii="Garamond" w:hAnsi="Garamond"/>
          <w:b/>
          <w:lang w:val="en-US"/>
        </w:rPr>
      </w:pPr>
      <w:r>
        <w:rPr>
          <w:rFonts w:ascii="Garamond" w:hAnsi="Garamond"/>
          <w:b/>
          <w:lang w:val="en-US"/>
        </w:rPr>
        <w:t>Arguments for and against a minimum carbon price</w:t>
      </w:r>
    </w:p>
    <w:tbl>
      <w:tblPr>
        <w:tblStyle w:val="Grilledutableau"/>
        <w:tblW w:w="10031" w:type="dxa"/>
        <w:tblLook w:val="04A0"/>
      </w:tblPr>
      <w:tblGrid>
        <w:gridCol w:w="5070"/>
        <w:gridCol w:w="4961"/>
      </w:tblGrid>
      <w:tr w:rsidR="009F0EEA" w:rsidRPr="00095A0B" w:rsidTr="009F0EEA">
        <w:tc>
          <w:tcPr>
            <w:tcW w:w="5070" w:type="dxa"/>
            <w:vAlign w:val="center"/>
          </w:tcPr>
          <w:p w:rsidR="009F0EEA" w:rsidRPr="00614771" w:rsidRDefault="009F0EEA" w:rsidP="009F0EEA">
            <w:pPr>
              <w:rPr>
                <w:rFonts w:ascii="Garamond" w:hAnsi="Garamond"/>
                <w:b/>
                <w:lang w:val="en-US"/>
              </w:rPr>
            </w:pPr>
            <w:r w:rsidRPr="00614771">
              <w:rPr>
                <w:rFonts w:ascii="Garamond" w:hAnsi="Garamond"/>
                <w:b/>
                <w:lang w:val="en-US"/>
              </w:rPr>
              <w:t>FOR</w:t>
            </w:r>
          </w:p>
        </w:tc>
        <w:tc>
          <w:tcPr>
            <w:tcW w:w="4961" w:type="dxa"/>
            <w:vAlign w:val="center"/>
          </w:tcPr>
          <w:p w:rsidR="009F0EEA" w:rsidRPr="00614771" w:rsidRDefault="009F0EEA" w:rsidP="009F0EEA">
            <w:pPr>
              <w:rPr>
                <w:rFonts w:ascii="Garamond" w:hAnsi="Garamond"/>
                <w:b/>
                <w:lang w:val="en-US"/>
              </w:rPr>
            </w:pPr>
            <w:r w:rsidRPr="00614771">
              <w:rPr>
                <w:rFonts w:ascii="Garamond" w:hAnsi="Garamond"/>
                <w:b/>
                <w:lang w:val="en-US"/>
              </w:rPr>
              <w:t>AGAINST</w:t>
            </w:r>
          </w:p>
        </w:tc>
      </w:tr>
      <w:tr w:rsidR="009F0EEA" w:rsidRPr="003F4663" w:rsidTr="009F0EEA">
        <w:trPr>
          <w:trHeight w:val="633"/>
        </w:trPr>
        <w:tc>
          <w:tcPr>
            <w:tcW w:w="5070" w:type="dxa"/>
            <w:vAlign w:val="center"/>
          </w:tcPr>
          <w:p w:rsidR="009F0EEA" w:rsidRPr="000E10C3" w:rsidRDefault="009F0EEA" w:rsidP="007546EA">
            <w:pPr>
              <w:rPr>
                <w:rFonts w:ascii="Garamond" w:hAnsi="Garamond"/>
                <w:lang w:val="en-US"/>
              </w:rPr>
            </w:pPr>
            <w:r w:rsidRPr="000E10C3">
              <w:rPr>
                <w:rFonts w:ascii="Garamond" w:hAnsi="Garamond"/>
                <w:lang w:val="en-US"/>
              </w:rPr>
              <w:t>“</w:t>
            </w:r>
            <w:r w:rsidRPr="007546EA">
              <w:rPr>
                <w:rFonts w:ascii="Garamond" w:hAnsi="Garamond"/>
                <w:lang w:val="en-US"/>
              </w:rPr>
              <w:t>A floor price, even if not pitched particularly high, shifts the carbon pricing risk on a project at least to some extent</w:t>
            </w:r>
            <w:r w:rsidRPr="000E10C3">
              <w:rPr>
                <w:rFonts w:ascii="Garamond" w:hAnsi="Garamond"/>
                <w:lang w:val="en-US"/>
              </w:rPr>
              <w:t>” (p</w:t>
            </w:r>
            <w:r w:rsidR="007546EA">
              <w:rPr>
                <w:rFonts w:ascii="Garamond" w:hAnsi="Garamond"/>
                <w:lang w:val="en-US"/>
              </w:rPr>
              <w:t>1</w:t>
            </w:r>
            <w:r w:rsidRPr="000E10C3">
              <w:rPr>
                <w:rFonts w:ascii="Garamond" w:hAnsi="Garamond"/>
                <w:lang w:val="en-US"/>
              </w:rPr>
              <w:t>)</w:t>
            </w:r>
          </w:p>
        </w:tc>
        <w:tc>
          <w:tcPr>
            <w:tcW w:w="4961" w:type="dxa"/>
            <w:vAlign w:val="center"/>
          </w:tcPr>
          <w:p w:rsidR="009F0EEA" w:rsidRPr="00447E9E" w:rsidRDefault="009F0EEA" w:rsidP="007546EA">
            <w:pPr>
              <w:rPr>
                <w:rFonts w:ascii="Garamond" w:hAnsi="Garamond"/>
                <w:lang w:val="en-US"/>
              </w:rPr>
            </w:pPr>
            <w:r w:rsidRPr="00447E9E">
              <w:rPr>
                <w:rFonts w:ascii="Garamond" w:hAnsi="Garamond"/>
                <w:lang w:val="en-US"/>
              </w:rPr>
              <w:t>“</w:t>
            </w:r>
            <w:r w:rsidR="007546EA" w:rsidRPr="007546EA">
              <w:rPr>
                <w:rFonts w:ascii="Garamond" w:hAnsi="Garamond"/>
                <w:lang w:val="en-US"/>
              </w:rPr>
              <w:t>In a permit system it is the number of permits: the price of the permits shows how expensive or cheap it is to meet the target</w:t>
            </w:r>
            <w:r w:rsidRPr="00447E9E">
              <w:rPr>
                <w:rFonts w:ascii="Garamond" w:hAnsi="Garamond"/>
                <w:lang w:val="en-US"/>
              </w:rPr>
              <w:t>” (p</w:t>
            </w:r>
            <w:r w:rsidR="007546EA">
              <w:rPr>
                <w:rFonts w:ascii="Garamond" w:hAnsi="Garamond"/>
                <w:lang w:val="en-US"/>
              </w:rPr>
              <w:t>1</w:t>
            </w:r>
            <w:r w:rsidRPr="00447E9E">
              <w:rPr>
                <w:rFonts w:ascii="Garamond" w:hAnsi="Garamond"/>
                <w:lang w:val="en-US"/>
              </w:rPr>
              <w:t>)</w:t>
            </w:r>
          </w:p>
        </w:tc>
      </w:tr>
      <w:tr w:rsidR="009F0EEA" w:rsidRPr="003F4663" w:rsidTr="009F0EEA">
        <w:trPr>
          <w:trHeight w:val="571"/>
        </w:trPr>
        <w:tc>
          <w:tcPr>
            <w:tcW w:w="5070" w:type="dxa"/>
            <w:vAlign w:val="center"/>
          </w:tcPr>
          <w:p w:rsidR="009F0EEA" w:rsidRPr="000E10C3" w:rsidRDefault="007546EA" w:rsidP="007546EA">
            <w:pPr>
              <w:rPr>
                <w:rFonts w:ascii="Garamond" w:hAnsi="Garamond"/>
                <w:lang w:val="en-US"/>
              </w:rPr>
            </w:pPr>
            <w:r w:rsidRPr="003F4663">
              <w:rPr>
                <w:rFonts w:ascii="Garamond" w:hAnsi="Garamond"/>
                <w:lang w:val="en-US"/>
              </w:rPr>
              <w:t>“</w:t>
            </w:r>
            <w:r w:rsidRPr="007546EA">
              <w:rPr>
                <w:rFonts w:ascii="Garamond" w:hAnsi="Garamond"/>
                <w:lang w:val="en-US"/>
              </w:rPr>
              <w:t>Hybrid instruments offer the potential for provi</w:t>
            </w:r>
            <w:r w:rsidRPr="007546EA">
              <w:rPr>
                <w:rFonts w:ascii="Garamond" w:hAnsi="Garamond"/>
                <w:lang w:val="en-US"/>
              </w:rPr>
              <w:t>d</w:t>
            </w:r>
            <w:r w:rsidRPr="007546EA">
              <w:rPr>
                <w:rFonts w:ascii="Garamond" w:hAnsi="Garamond"/>
                <w:lang w:val="en-US"/>
              </w:rPr>
              <w:t>ing greater certainty regarding prices and inves</w:t>
            </w:r>
            <w:r w:rsidRPr="007546EA">
              <w:rPr>
                <w:rFonts w:ascii="Garamond" w:hAnsi="Garamond"/>
                <w:lang w:val="en-US"/>
              </w:rPr>
              <w:t>t</w:t>
            </w:r>
            <w:r w:rsidRPr="007546EA">
              <w:rPr>
                <w:rFonts w:ascii="Garamond" w:hAnsi="Garamond"/>
                <w:lang w:val="en-US"/>
              </w:rPr>
              <w:t>ment signals, while maintaining the advantages of a trading scheme</w:t>
            </w:r>
            <w:r w:rsidRPr="003F4663">
              <w:rPr>
                <w:rFonts w:ascii="Garamond" w:hAnsi="Garamond"/>
                <w:lang w:val="en-US"/>
              </w:rPr>
              <w:t>” (p</w:t>
            </w:r>
            <w:r>
              <w:rPr>
                <w:rFonts w:ascii="Garamond" w:hAnsi="Garamond"/>
                <w:lang w:val="en-US"/>
              </w:rPr>
              <w:t>2</w:t>
            </w:r>
            <w:r w:rsidRPr="003F4663">
              <w:rPr>
                <w:rFonts w:ascii="Garamond" w:hAnsi="Garamond"/>
                <w:lang w:val="en-US"/>
              </w:rPr>
              <w:t>)</w:t>
            </w:r>
          </w:p>
        </w:tc>
        <w:tc>
          <w:tcPr>
            <w:tcW w:w="4961" w:type="dxa"/>
            <w:vAlign w:val="center"/>
          </w:tcPr>
          <w:p w:rsidR="009F0EEA" w:rsidRPr="000E10C3" w:rsidRDefault="009F0EEA" w:rsidP="007546EA">
            <w:pPr>
              <w:rPr>
                <w:rFonts w:ascii="Garamond" w:hAnsi="Garamond"/>
                <w:lang w:val="en-US"/>
              </w:rPr>
            </w:pPr>
            <w:r w:rsidRPr="00447E9E">
              <w:rPr>
                <w:rFonts w:ascii="Garamond" w:hAnsi="Garamond"/>
                <w:lang w:val="en-US"/>
              </w:rPr>
              <w:t>“</w:t>
            </w:r>
            <w:r w:rsidR="007546EA" w:rsidRPr="007546EA">
              <w:rPr>
                <w:rFonts w:ascii="Garamond" w:hAnsi="Garamond"/>
                <w:lang w:val="en-US"/>
              </w:rPr>
              <w:t>It is too late to do this for Phase III of the EU ETS (2013-2020)</w:t>
            </w:r>
            <w:r w:rsidRPr="00447E9E">
              <w:rPr>
                <w:rFonts w:ascii="Garamond" w:hAnsi="Garamond"/>
                <w:lang w:val="en-US"/>
              </w:rPr>
              <w:t>” (p</w:t>
            </w:r>
            <w:r w:rsidR="007546EA">
              <w:rPr>
                <w:rFonts w:ascii="Garamond" w:hAnsi="Garamond"/>
                <w:lang w:val="en-US"/>
              </w:rPr>
              <w:t>2</w:t>
            </w:r>
            <w:r w:rsidRPr="00447E9E">
              <w:rPr>
                <w:rFonts w:ascii="Garamond" w:hAnsi="Garamond"/>
                <w:lang w:val="en-US"/>
              </w:rPr>
              <w:t>)</w:t>
            </w:r>
          </w:p>
        </w:tc>
      </w:tr>
      <w:tr w:rsidR="009F0EEA" w:rsidRPr="003F4663" w:rsidTr="009F0EEA">
        <w:tc>
          <w:tcPr>
            <w:tcW w:w="5070" w:type="dxa"/>
            <w:vAlign w:val="center"/>
          </w:tcPr>
          <w:p w:rsidR="009F0EEA" w:rsidRPr="003F4663" w:rsidRDefault="007546EA" w:rsidP="007546EA">
            <w:pPr>
              <w:rPr>
                <w:rFonts w:ascii="Garamond" w:hAnsi="Garamond"/>
                <w:lang w:val="en-US"/>
              </w:rPr>
            </w:pPr>
            <w:r w:rsidRPr="003F4663">
              <w:rPr>
                <w:rFonts w:ascii="Garamond" w:hAnsi="Garamond"/>
                <w:lang w:val="en-US"/>
              </w:rPr>
              <w:t>“</w:t>
            </w:r>
            <w:r w:rsidRPr="007546EA">
              <w:rPr>
                <w:rFonts w:ascii="Garamond" w:hAnsi="Garamond"/>
                <w:lang w:val="en-US"/>
              </w:rPr>
              <w:t>A price floor gives greater certainty about the minimum return to their investments</w:t>
            </w:r>
            <w:r w:rsidRPr="003F4663">
              <w:rPr>
                <w:rFonts w:ascii="Garamond" w:hAnsi="Garamond"/>
                <w:lang w:val="en-US"/>
              </w:rPr>
              <w:t>” (p</w:t>
            </w:r>
            <w:r>
              <w:rPr>
                <w:rFonts w:ascii="Garamond" w:hAnsi="Garamond"/>
                <w:lang w:val="en-US"/>
              </w:rPr>
              <w:t>2</w:t>
            </w:r>
            <w:r w:rsidRPr="003F4663">
              <w:rPr>
                <w:rFonts w:ascii="Garamond" w:hAnsi="Garamond"/>
                <w:lang w:val="en-US"/>
              </w:rPr>
              <w:t>)</w:t>
            </w:r>
          </w:p>
        </w:tc>
        <w:tc>
          <w:tcPr>
            <w:tcW w:w="4961" w:type="dxa"/>
            <w:vAlign w:val="center"/>
          </w:tcPr>
          <w:p w:rsidR="009F0EEA" w:rsidRPr="003F4663" w:rsidRDefault="009F0EEA" w:rsidP="009F0EEA">
            <w:pPr>
              <w:pStyle w:val="Default"/>
              <w:rPr>
                <w:rFonts w:ascii="Garamond" w:hAnsi="Garamond" w:cstheme="minorBidi"/>
                <w:color w:val="auto"/>
                <w:lang w:val="en-US"/>
              </w:rPr>
            </w:pPr>
            <w:r w:rsidRPr="003F4663">
              <w:rPr>
                <w:rFonts w:ascii="Garamond" w:hAnsi="Garamond" w:cstheme="minorBidi"/>
                <w:color w:val="auto"/>
                <w:lang w:val="en-US"/>
              </w:rPr>
              <w:t xml:space="preserve">“Loses short term benefit to industry of low prices” (p6) </w:t>
            </w:r>
          </w:p>
        </w:tc>
      </w:tr>
      <w:tr w:rsidR="009F0EEA" w:rsidRPr="0035099B" w:rsidTr="009F0EEA">
        <w:tc>
          <w:tcPr>
            <w:tcW w:w="5070" w:type="dxa"/>
            <w:vAlign w:val="center"/>
          </w:tcPr>
          <w:p w:rsidR="009F0EEA" w:rsidRPr="003F4663" w:rsidRDefault="009F0EEA" w:rsidP="007546EA">
            <w:pPr>
              <w:rPr>
                <w:rFonts w:ascii="Garamond" w:hAnsi="Garamond"/>
                <w:lang w:val="en-US"/>
              </w:rPr>
            </w:pPr>
            <w:r w:rsidRPr="003F4663">
              <w:rPr>
                <w:rFonts w:ascii="Garamond" w:hAnsi="Garamond"/>
                <w:lang w:val="en-US"/>
              </w:rPr>
              <w:t>“</w:t>
            </w:r>
            <w:r w:rsidR="007546EA" w:rsidRPr="007546EA">
              <w:rPr>
                <w:rFonts w:ascii="Garamond" w:hAnsi="Garamond"/>
                <w:lang w:val="en-US"/>
              </w:rPr>
              <w:t>An advantage of having a reserve price is that ind</w:t>
            </w:r>
            <w:r w:rsidR="007546EA" w:rsidRPr="007546EA">
              <w:rPr>
                <w:rFonts w:ascii="Garamond" w:hAnsi="Garamond"/>
                <w:lang w:val="en-US"/>
              </w:rPr>
              <w:t>e</w:t>
            </w:r>
            <w:r w:rsidR="007546EA" w:rsidRPr="007546EA">
              <w:rPr>
                <w:rFonts w:ascii="Garamond" w:hAnsi="Garamond"/>
                <w:lang w:val="en-US"/>
              </w:rPr>
              <w:t>pendent of its function as a price floor, it is an auction design feature that can protect sellers and in some cases buyers from unexpected outcomes in the auction</w:t>
            </w:r>
            <w:r w:rsidRPr="003F4663">
              <w:rPr>
                <w:rFonts w:ascii="Garamond" w:hAnsi="Garamond"/>
                <w:lang w:val="en-US"/>
              </w:rPr>
              <w:t>” (p</w:t>
            </w:r>
            <w:r w:rsidR="007546EA">
              <w:rPr>
                <w:rFonts w:ascii="Garamond" w:hAnsi="Garamond"/>
                <w:lang w:val="en-US"/>
              </w:rPr>
              <w:t>2</w:t>
            </w:r>
            <w:r w:rsidRPr="003F4663">
              <w:rPr>
                <w:rFonts w:ascii="Garamond" w:hAnsi="Garamond"/>
                <w:lang w:val="en-US"/>
              </w:rPr>
              <w:t>)</w:t>
            </w:r>
          </w:p>
        </w:tc>
        <w:tc>
          <w:tcPr>
            <w:tcW w:w="4961" w:type="dxa"/>
          </w:tcPr>
          <w:p w:rsidR="009F0EEA" w:rsidRPr="003F4663" w:rsidRDefault="009F0EEA" w:rsidP="007546EA">
            <w:pPr>
              <w:pStyle w:val="Default"/>
              <w:rPr>
                <w:rFonts w:ascii="Garamond" w:hAnsi="Garamond" w:cstheme="minorBidi"/>
                <w:color w:val="auto"/>
                <w:lang w:val="en-US"/>
              </w:rPr>
            </w:pPr>
          </w:p>
        </w:tc>
      </w:tr>
      <w:tr w:rsidR="009F0EEA" w:rsidRPr="00503747" w:rsidTr="009F0EEA">
        <w:trPr>
          <w:trHeight w:val="743"/>
        </w:trPr>
        <w:tc>
          <w:tcPr>
            <w:tcW w:w="5070" w:type="dxa"/>
          </w:tcPr>
          <w:p w:rsidR="009F0EEA" w:rsidRPr="007546EA" w:rsidRDefault="009F0EEA" w:rsidP="007546EA">
            <w:pPr>
              <w:rPr>
                <w:rFonts w:ascii="Garamond" w:hAnsi="Garamond"/>
                <w:lang w:val="en-US"/>
              </w:rPr>
            </w:pPr>
            <w:r w:rsidRPr="000E10C3">
              <w:rPr>
                <w:rFonts w:ascii="Garamond" w:hAnsi="Garamond"/>
                <w:lang w:val="en-US"/>
              </w:rPr>
              <w:t>“</w:t>
            </w:r>
            <w:r w:rsidR="007546EA" w:rsidRPr="007546EA">
              <w:rPr>
                <w:rFonts w:ascii="Garamond" w:hAnsi="Garamond"/>
                <w:lang w:val="en-US"/>
              </w:rPr>
              <w:t>remove large perceived downside risks, support low-carbon investment decisions, and reduce the cost of capital, which could result in substantial economic sa</w:t>
            </w:r>
            <w:r w:rsidR="007546EA" w:rsidRPr="007546EA">
              <w:rPr>
                <w:rFonts w:ascii="Garamond" w:hAnsi="Garamond"/>
                <w:lang w:val="en-US"/>
              </w:rPr>
              <w:t>v</w:t>
            </w:r>
            <w:r w:rsidR="007546EA" w:rsidRPr="007546EA">
              <w:rPr>
                <w:rFonts w:ascii="Garamond" w:hAnsi="Garamond"/>
                <w:lang w:val="en-US"/>
              </w:rPr>
              <w:t>ings</w:t>
            </w:r>
            <w:r w:rsidRPr="000E10C3">
              <w:rPr>
                <w:rFonts w:ascii="Garamond" w:hAnsi="Garamond"/>
                <w:lang w:val="en-US"/>
              </w:rPr>
              <w:t>”</w:t>
            </w:r>
            <w:r>
              <w:rPr>
                <w:rFonts w:ascii="Garamond" w:hAnsi="Garamond"/>
                <w:lang w:val="en-US"/>
              </w:rPr>
              <w:t xml:space="preserve"> (p</w:t>
            </w:r>
            <w:r w:rsidR="007546EA">
              <w:rPr>
                <w:rFonts w:ascii="Garamond" w:hAnsi="Garamond"/>
                <w:lang w:val="en-US"/>
              </w:rPr>
              <w:t>3</w:t>
            </w:r>
            <w:r>
              <w:rPr>
                <w:rFonts w:ascii="Garamond" w:hAnsi="Garamond"/>
                <w:lang w:val="en-US"/>
              </w:rPr>
              <w:t>)</w:t>
            </w:r>
          </w:p>
        </w:tc>
        <w:tc>
          <w:tcPr>
            <w:tcW w:w="4961" w:type="dxa"/>
          </w:tcPr>
          <w:p w:rsidR="009F0EEA" w:rsidRPr="00503747" w:rsidRDefault="009F0EEA" w:rsidP="009F0EEA">
            <w:pPr>
              <w:pStyle w:val="Default"/>
              <w:rPr>
                <w:lang w:val="en-US"/>
              </w:rPr>
            </w:pPr>
          </w:p>
        </w:tc>
      </w:tr>
      <w:tr w:rsidR="00095A0B" w:rsidRPr="00503747" w:rsidTr="009F0EEA">
        <w:trPr>
          <w:trHeight w:val="743"/>
        </w:trPr>
        <w:tc>
          <w:tcPr>
            <w:tcW w:w="5070" w:type="dxa"/>
          </w:tcPr>
          <w:p w:rsidR="00095A0B" w:rsidRPr="000E10C3" w:rsidRDefault="00095A0B" w:rsidP="007546EA">
            <w:pPr>
              <w:rPr>
                <w:rFonts w:ascii="Garamond" w:hAnsi="Garamond"/>
                <w:lang w:val="en-US"/>
              </w:rPr>
            </w:pPr>
            <w:r w:rsidRPr="000E10C3">
              <w:rPr>
                <w:rFonts w:ascii="Garamond" w:hAnsi="Garamond"/>
                <w:lang w:val="en-US"/>
              </w:rPr>
              <w:t>“</w:t>
            </w:r>
            <w:r w:rsidRPr="00095A0B">
              <w:rPr>
                <w:rFonts w:ascii="Garamond" w:hAnsi="Garamond"/>
                <w:lang w:val="en-US"/>
              </w:rPr>
              <w:t>can reduce excessive price volatility, improves predict</w:t>
            </w:r>
            <w:r w:rsidRPr="00095A0B">
              <w:rPr>
                <w:rFonts w:ascii="Garamond" w:hAnsi="Garamond"/>
                <w:lang w:val="en-US"/>
              </w:rPr>
              <w:t>a</w:t>
            </w:r>
            <w:r w:rsidRPr="00095A0B">
              <w:rPr>
                <w:rFonts w:ascii="Garamond" w:hAnsi="Garamond"/>
                <w:lang w:val="en-US"/>
              </w:rPr>
              <w:t>bility of returns and increases expected returns for low-emissions investments</w:t>
            </w:r>
            <w:r w:rsidRPr="000E10C3">
              <w:rPr>
                <w:rFonts w:ascii="Garamond" w:hAnsi="Garamond"/>
                <w:lang w:val="en-US"/>
              </w:rPr>
              <w:t>”</w:t>
            </w:r>
            <w:r>
              <w:rPr>
                <w:rFonts w:ascii="Garamond" w:hAnsi="Garamond"/>
                <w:lang w:val="en-US"/>
              </w:rPr>
              <w:t xml:space="preserve"> (p3)</w:t>
            </w:r>
          </w:p>
        </w:tc>
        <w:tc>
          <w:tcPr>
            <w:tcW w:w="4961" w:type="dxa"/>
          </w:tcPr>
          <w:p w:rsidR="00095A0B" w:rsidRPr="00503747" w:rsidRDefault="00095A0B" w:rsidP="009F0EEA">
            <w:pPr>
              <w:pStyle w:val="Default"/>
              <w:rPr>
                <w:lang w:val="en-US"/>
              </w:rPr>
            </w:pPr>
          </w:p>
        </w:tc>
      </w:tr>
    </w:tbl>
    <w:p w:rsidR="009F0EEA" w:rsidRPr="00503747" w:rsidRDefault="009F0EEA" w:rsidP="009F0EEA">
      <w:pPr>
        <w:spacing w:line="276" w:lineRule="auto"/>
        <w:jc w:val="both"/>
        <w:rPr>
          <w:rFonts w:asciiTheme="minorHAnsi" w:hAnsiTheme="minorHAnsi" w:cstheme="minorHAnsi"/>
          <w:lang w:val="en-US"/>
        </w:rPr>
      </w:pPr>
    </w:p>
    <w:p w:rsidR="009F0EEA" w:rsidRPr="00503747" w:rsidRDefault="009F0EEA" w:rsidP="009F0EEA">
      <w:pPr>
        <w:spacing w:line="276" w:lineRule="auto"/>
        <w:jc w:val="both"/>
        <w:rPr>
          <w:rFonts w:asciiTheme="minorHAnsi" w:hAnsiTheme="minorHAnsi" w:cstheme="minorHAnsi"/>
          <w:lang w:val="en-US"/>
        </w:rPr>
      </w:pPr>
    </w:p>
    <w:p w:rsidR="00095A0B" w:rsidRDefault="00095A0B">
      <w:pPr>
        <w:rPr>
          <w:rFonts w:ascii="Arial" w:hAnsi="Arial" w:cs="Arial"/>
          <w:color w:val="000000"/>
          <w:kern w:val="0"/>
          <w:lang w:val="en-US" w:bidi="ar-SA"/>
        </w:rPr>
      </w:pPr>
      <w:r>
        <w:rPr>
          <w:lang w:val="en-US"/>
        </w:rPr>
        <w:br w:type="page"/>
      </w:r>
    </w:p>
    <w:p w:rsidR="00095A0B" w:rsidRPr="009F0EEA" w:rsidRDefault="00095A0B" w:rsidP="00095A0B">
      <w:pPr>
        <w:widowControl/>
        <w:suppressAutoHyphens w:val="0"/>
        <w:autoSpaceDE w:val="0"/>
        <w:adjustRightInd w:val="0"/>
        <w:textAlignment w:val="auto"/>
        <w:rPr>
          <w:rFonts w:asciiTheme="minorHAnsi" w:hAnsiTheme="minorHAnsi" w:cstheme="minorHAnsi"/>
          <w:b/>
          <w:i/>
          <w:color w:val="FF0000"/>
          <w:sz w:val="16"/>
          <w:lang w:val="en-US"/>
        </w:rPr>
      </w:pPr>
      <w:r w:rsidRPr="00095A0B">
        <w:rPr>
          <w:rFonts w:asciiTheme="minorHAnsi" w:hAnsiTheme="minorHAnsi" w:cstheme="minorHAnsi" w:hint="eastAsia"/>
          <w:b/>
          <w:i/>
          <w:color w:val="FF0000"/>
          <w:sz w:val="16"/>
          <w:lang w:val="en-US"/>
        </w:rPr>
        <w:lastRenderedPageBreak/>
        <w:t xml:space="preserve">YES </w:t>
      </w:r>
      <w:proofErr w:type="spellStart"/>
      <w:r w:rsidRPr="00095A0B">
        <w:rPr>
          <w:rFonts w:asciiTheme="minorHAnsi" w:hAnsiTheme="minorHAnsi" w:cstheme="minorHAnsi" w:hint="eastAsia"/>
          <w:b/>
          <w:i/>
          <w:color w:val="FF0000"/>
          <w:sz w:val="16"/>
          <w:lang w:val="en-US"/>
        </w:rPr>
        <w:t>Mistra</w:t>
      </w:r>
      <w:proofErr w:type="spellEnd"/>
      <w:r w:rsidRPr="00095A0B">
        <w:rPr>
          <w:rFonts w:asciiTheme="minorHAnsi" w:hAnsiTheme="minorHAnsi" w:cstheme="minorHAnsi" w:hint="eastAsia"/>
          <w:b/>
          <w:i/>
          <w:color w:val="FF0000"/>
          <w:sz w:val="16"/>
          <w:lang w:val="en-US"/>
        </w:rPr>
        <w:t xml:space="preserve"> </w:t>
      </w:r>
      <w:proofErr w:type="spellStart"/>
      <w:r w:rsidRPr="00095A0B">
        <w:rPr>
          <w:rFonts w:asciiTheme="minorHAnsi" w:hAnsiTheme="minorHAnsi" w:cstheme="minorHAnsi" w:hint="eastAsia"/>
          <w:b/>
          <w:i/>
          <w:color w:val="FF0000"/>
          <w:sz w:val="16"/>
          <w:lang w:val="en-US"/>
        </w:rPr>
        <w:t>INdigo</w:t>
      </w:r>
      <w:proofErr w:type="spellEnd"/>
      <w:r w:rsidRPr="00095A0B">
        <w:rPr>
          <w:rFonts w:asciiTheme="minorHAnsi" w:hAnsiTheme="minorHAnsi" w:cstheme="minorHAnsi" w:hint="eastAsia"/>
          <w:b/>
          <w:i/>
          <w:color w:val="FF0000"/>
          <w:sz w:val="16"/>
          <w:lang w:val="en-US"/>
        </w:rPr>
        <w:t xml:space="preserve"> 1484439_price-floor-eu-ets.pdf</w:t>
      </w:r>
    </w:p>
    <w:p w:rsidR="00095A0B" w:rsidRDefault="00095A0B" w:rsidP="00095A0B">
      <w:pPr>
        <w:widowControl/>
        <w:suppressAutoHyphens w:val="0"/>
        <w:autoSpaceDE w:val="0"/>
        <w:adjustRightInd w:val="0"/>
        <w:jc w:val="both"/>
        <w:textAlignment w:val="auto"/>
        <w:rPr>
          <w:rFonts w:asciiTheme="minorHAnsi" w:hAnsiTheme="minorHAnsi" w:cstheme="minorHAnsi"/>
          <w:sz w:val="22"/>
          <w:szCs w:val="21"/>
          <w:lang w:val="en-US"/>
        </w:rPr>
      </w:pPr>
    </w:p>
    <w:p w:rsidR="00095A0B" w:rsidRDefault="00095A0B" w:rsidP="00095A0B">
      <w:pPr>
        <w:widowControl/>
        <w:suppressAutoHyphens w:val="0"/>
        <w:autoSpaceDE w:val="0"/>
        <w:adjustRightInd w:val="0"/>
        <w:jc w:val="both"/>
        <w:textAlignment w:val="auto"/>
        <w:rPr>
          <w:rFonts w:asciiTheme="minorHAnsi" w:hAnsiTheme="minorHAnsi" w:cstheme="minorHAnsi"/>
          <w:sz w:val="22"/>
          <w:szCs w:val="21"/>
          <w:lang w:val="en-US"/>
        </w:rPr>
      </w:pPr>
    </w:p>
    <w:p w:rsidR="00095A0B" w:rsidRDefault="00095A0B" w:rsidP="00095A0B">
      <w:pPr>
        <w:widowControl/>
        <w:suppressAutoHyphens w:val="0"/>
        <w:autoSpaceDE w:val="0"/>
        <w:adjustRightInd w:val="0"/>
        <w:jc w:val="both"/>
        <w:textAlignment w:val="auto"/>
        <w:rPr>
          <w:rFonts w:asciiTheme="minorHAnsi" w:hAnsiTheme="minorHAnsi" w:cstheme="minorHAnsi"/>
          <w:sz w:val="22"/>
          <w:szCs w:val="21"/>
          <w:lang w:val="en-US"/>
        </w:rPr>
      </w:pPr>
      <w:r>
        <w:rPr>
          <w:rFonts w:asciiTheme="minorHAnsi" w:hAnsiTheme="minorHAnsi" w:cstheme="minorHAnsi"/>
          <w:sz w:val="22"/>
          <w:szCs w:val="21"/>
          <w:lang w:val="en-US"/>
        </w:rPr>
        <w:t>_______________________________________________________________________________________</w:t>
      </w:r>
    </w:p>
    <w:p w:rsidR="00095A0B" w:rsidRPr="00A37F02" w:rsidRDefault="00095A0B" w:rsidP="00095A0B">
      <w:pPr>
        <w:widowControl/>
        <w:suppressAutoHyphens w:val="0"/>
        <w:autoSpaceDE w:val="0"/>
        <w:adjustRightInd w:val="0"/>
        <w:jc w:val="both"/>
        <w:textAlignment w:val="auto"/>
        <w:rPr>
          <w:rFonts w:asciiTheme="minorHAnsi" w:hAnsiTheme="minorHAnsi" w:cstheme="minorHAnsi"/>
          <w:sz w:val="22"/>
          <w:szCs w:val="21"/>
          <w:lang w:val="en-US"/>
        </w:rPr>
      </w:pPr>
      <w:proofErr w:type="spellStart"/>
      <w:r>
        <w:rPr>
          <w:rFonts w:asciiTheme="minorHAnsi" w:hAnsiTheme="minorHAnsi" w:cstheme="minorHAnsi"/>
          <w:sz w:val="22"/>
          <w:szCs w:val="21"/>
          <w:lang w:val="en-US"/>
        </w:rPr>
        <w:t>Burtraw</w:t>
      </w:r>
      <w:proofErr w:type="spellEnd"/>
      <w:r>
        <w:rPr>
          <w:rFonts w:asciiTheme="minorHAnsi" w:hAnsiTheme="minorHAnsi" w:cstheme="minorHAnsi"/>
          <w:sz w:val="22"/>
          <w:szCs w:val="21"/>
          <w:lang w:val="en-US"/>
        </w:rPr>
        <w:t xml:space="preserve"> D., </w:t>
      </w:r>
      <w:proofErr w:type="spellStart"/>
      <w:r>
        <w:rPr>
          <w:rFonts w:asciiTheme="minorHAnsi" w:hAnsiTheme="minorHAnsi" w:cstheme="minorHAnsi"/>
          <w:sz w:val="22"/>
          <w:szCs w:val="21"/>
          <w:lang w:val="en-US"/>
        </w:rPr>
        <w:t>Löfgren</w:t>
      </w:r>
      <w:proofErr w:type="spellEnd"/>
      <w:r>
        <w:rPr>
          <w:rFonts w:asciiTheme="minorHAnsi" w:hAnsiTheme="minorHAnsi" w:cstheme="minorHAnsi"/>
          <w:sz w:val="22"/>
          <w:szCs w:val="21"/>
          <w:lang w:val="en-US"/>
        </w:rPr>
        <w:t xml:space="preserve"> A., Zetterberg L.,</w:t>
      </w:r>
      <w:r w:rsidR="00C66295">
        <w:rPr>
          <w:rFonts w:asciiTheme="minorHAnsi" w:hAnsiTheme="minorHAnsi" w:cstheme="minorHAnsi"/>
          <w:sz w:val="22"/>
          <w:szCs w:val="21"/>
          <w:lang w:val="en-US"/>
        </w:rPr>
        <w:t xml:space="preserve"> December 2013.</w:t>
      </w:r>
      <w:r>
        <w:rPr>
          <w:rFonts w:asciiTheme="minorHAnsi" w:hAnsiTheme="minorHAnsi" w:cstheme="minorHAnsi"/>
          <w:sz w:val="22"/>
          <w:szCs w:val="21"/>
          <w:lang w:val="en-US"/>
        </w:rPr>
        <w:t xml:space="preserve"> </w:t>
      </w:r>
      <w:r w:rsidR="00F07207">
        <w:rPr>
          <w:rFonts w:asciiTheme="minorHAnsi" w:hAnsiTheme="minorHAnsi" w:cstheme="minorHAnsi"/>
          <w:sz w:val="22"/>
          <w:szCs w:val="21"/>
          <w:lang w:val="en-US"/>
        </w:rPr>
        <w:t xml:space="preserve">US/SE: </w:t>
      </w:r>
      <w:r>
        <w:rPr>
          <w:rFonts w:asciiTheme="minorHAnsi" w:hAnsiTheme="minorHAnsi" w:cstheme="minorHAnsi"/>
          <w:sz w:val="22"/>
          <w:szCs w:val="21"/>
          <w:lang w:val="en-US"/>
        </w:rPr>
        <w:t>A Price Floor Solution to the Allowance Su</w:t>
      </w:r>
      <w:r>
        <w:rPr>
          <w:rFonts w:asciiTheme="minorHAnsi" w:hAnsiTheme="minorHAnsi" w:cstheme="minorHAnsi"/>
          <w:sz w:val="22"/>
          <w:szCs w:val="21"/>
          <w:lang w:val="en-US"/>
        </w:rPr>
        <w:t>r</w:t>
      </w:r>
      <w:r>
        <w:rPr>
          <w:rFonts w:asciiTheme="minorHAnsi" w:hAnsiTheme="minorHAnsi" w:cstheme="minorHAnsi"/>
          <w:sz w:val="22"/>
          <w:szCs w:val="21"/>
          <w:lang w:val="en-US"/>
        </w:rPr>
        <w:t>plus in the EU ETS</w:t>
      </w:r>
      <w:r w:rsidRPr="00A37F02">
        <w:rPr>
          <w:rFonts w:asciiTheme="minorHAnsi" w:hAnsiTheme="minorHAnsi" w:cstheme="minorHAnsi"/>
          <w:sz w:val="22"/>
          <w:szCs w:val="21"/>
          <w:lang w:val="en-US"/>
        </w:rPr>
        <w:t>,</w:t>
      </w:r>
      <w:r w:rsidR="00C66295">
        <w:rPr>
          <w:rFonts w:asciiTheme="minorHAnsi" w:hAnsiTheme="minorHAnsi" w:cstheme="minorHAnsi"/>
          <w:sz w:val="22"/>
          <w:szCs w:val="21"/>
          <w:lang w:val="en-US"/>
        </w:rPr>
        <w:t xml:space="preserve"> </w:t>
      </w:r>
      <w:proofErr w:type="spellStart"/>
      <w:r w:rsidR="00C66295">
        <w:rPr>
          <w:rFonts w:asciiTheme="minorHAnsi" w:hAnsiTheme="minorHAnsi" w:cstheme="minorHAnsi"/>
          <w:sz w:val="22"/>
          <w:szCs w:val="21"/>
          <w:lang w:val="en-US"/>
        </w:rPr>
        <w:t>Mistra</w:t>
      </w:r>
      <w:proofErr w:type="spellEnd"/>
      <w:r w:rsidR="00C66295">
        <w:rPr>
          <w:rFonts w:asciiTheme="minorHAnsi" w:hAnsiTheme="minorHAnsi" w:cstheme="minorHAnsi"/>
          <w:sz w:val="22"/>
          <w:szCs w:val="21"/>
          <w:lang w:val="en-US"/>
        </w:rPr>
        <w:t xml:space="preserve"> Indigo (Instrument Design for Global Climate Mitigation)</w:t>
      </w:r>
    </w:p>
    <w:p w:rsidR="00095A0B" w:rsidRPr="00A37F02" w:rsidRDefault="00095A0B" w:rsidP="00095A0B">
      <w:pPr>
        <w:widowControl/>
        <w:suppressAutoHyphens w:val="0"/>
        <w:autoSpaceDE w:val="0"/>
        <w:adjustRightInd w:val="0"/>
        <w:jc w:val="both"/>
        <w:textAlignment w:val="auto"/>
        <w:rPr>
          <w:rFonts w:ascii="Calibri" w:hAnsi="Calibri" w:cs="Calibri"/>
          <w:sz w:val="22"/>
          <w:lang w:val="en-US"/>
        </w:rPr>
      </w:pPr>
    </w:p>
    <w:p w:rsidR="00CF2A45" w:rsidRPr="00A37F02" w:rsidRDefault="00CF2A45" w:rsidP="00095A0B">
      <w:pPr>
        <w:widowControl/>
        <w:suppressAutoHyphens w:val="0"/>
        <w:autoSpaceDE w:val="0"/>
        <w:adjustRightInd w:val="0"/>
        <w:jc w:val="both"/>
        <w:textAlignment w:val="auto"/>
        <w:rPr>
          <w:rFonts w:hint="eastAsia"/>
          <w:lang w:val="en-US"/>
        </w:rPr>
      </w:pPr>
    </w:p>
    <w:p w:rsidR="00095A0B" w:rsidRPr="0092376D" w:rsidRDefault="00095A0B" w:rsidP="00095A0B">
      <w:pPr>
        <w:spacing w:line="276" w:lineRule="auto"/>
        <w:jc w:val="center"/>
        <w:rPr>
          <w:rFonts w:ascii="Garamond" w:hAnsi="Garamond"/>
          <w:b/>
          <w:lang w:val="en-US"/>
        </w:rPr>
      </w:pPr>
      <w:r>
        <w:rPr>
          <w:rFonts w:ascii="Garamond" w:hAnsi="Garamond"/>
          <w:b/>
          <w:lang w:val="en-US"/>
        </w:rPr>
        <w:t>Arguments for and against a minimum carbon price</w:t>
      </w:r>
    </w:p>
    <w:tbl>
      <w:tblPr>
        <w:tblStyle w:val="Grilledutableau"/>
        <w:tblW w:w="10031" w:type="dxa"/>
        <w:tblLook w:val="04A0"/>
      </w:tblPr>
      <w:tblGrid>
        <w:gridCol w:w="5070"/>
        <w:gridCol w:w="4961"/>
      </w:tblGrid>
      <w:tr w:rsidR="00095A0B" w:rsidRPr="00095A0B" w:rsidTr="00095A0B">
        <w:tc>
          <w:tcPr>
            <w:tcW w:w="5070" w:type="dxa"/>
            <w:vAlign w:val="center"/>
          </w:tcPr>
          <w:p w:rsidR="00095A0B" w:rsidRPr="00614771" w:rsidRDefault="00095A0B" w:rsidP="00095A0B">
            <w:pPr>
              <w:rPr>
                <w:rFonts w:ascii="Garamond" w:hAnsi="Garamond"/>
                <w:b/>
                <w:lang w:val="en-US"/>
              </w:rPr>
            </w:pPr>
            <w:r w:rsidRPr="00614771">
              <w:rPr>
                <w:rFonts w:ascii="Garamond" w:hAnsi="Garamond"/>
                <w:b/>
                <w:lang w:val="en-US"/>
              </w:rPr>
              <w:t>FOR</w:t>
            </w:r>
          </w:p>
        </w:tc>
        <w:tc>
          <w:tcPr>
            <w:tcW w:w="4961" w:type="dxa"/>
            <w:vAlign w:val="center"/>
          </w:tcPr>
          <w:p w:rsidR="00095A0B" w:rsidRPr="00614771" w:rsidRDefault="00095A0B" w:rsidP="00095A0B">
            <w:pPr>
              <w:rPr>
                <w:rFonts w:ascii="Garamond" w:hAnsi="Garamond"/>
                <w:b/>
                <w:lang w:val="en-US"/>
              </w:rPr>
            </w:pPr>
            <w:r w:rsidRPr="00614771">
              <w:rPr>
                <w:rFonts w:ascii="Garamond" w:hAnsi="Garamond"/>
                <w:b/>
                <w:lang w:val="en-US"/>
              </w:rPr>
              <w:t>AGAINST</w:t>
            </w:r>
          </w:p>
        </w:tc>
      </w:tr>
      <w:tr w:rsidR="00095A0B" w:rsidRPr="003F4663" w:rsidTr="00095A0B">
        <w:trPr>
          <w:trHeight w:val="633"/>
        </w:trPr>
        <w:tc>
          <w:tcPr>
            <w:tcW w:w="5070" w:type="dxa"/>
            <w:vAlign w:val="center"/>
          </w:tcPr>
          <w:p w:rsidR="00095A0B" w:rsidRPr="000E10C3" w:rsidRDefault="00095A0B" w:rsidP="00393588">
            <w:pPr>
              <w:rPr>
                <w:rFonts w:ascii="Garamond" w:hAnsi="Garamond"/>
                <w:lang w:val="en-US"/>
              </w:rPr>
            </w:pPr>
            <w:r w:rsidRPr="000E10C3">
              <w:rPr>
                <w:rFonts w:ascii="Garamond" w:hAnsi="Garamond"/>
                <w:lang w:val="en-US"/>
              </w:rPr>
              <w:t>“</w:t>
            </w:r>
            <w:r w:rsidR="00C66295" w:rsidRPr="00393588">
              <w:rPr>
                <w:rFonts w:ascii="Garamond" w:hAnsi="Garamond"/>
                <w:lang w:val="en-US"/>
              </w:rPr>
              <w:t>Price floor approach could reinforce the market-based philosophy and inves</w:t>
            </w:r>
            <w:r w:rsidR="00C66295" w:rsidRPr="00393588">
              <w:rPr>
                <w:rFonts w:ascii="Garamond" w:hAnsi="Garamond"/>
                <w:lang w:val="en-US"/>
              </w:rPr>
              <w:t>t</w:t>
            </w:r>
            <w:r w:rsidR="00C66295" w:rsidRPr="00393588">
              <w:rPr>
                <w:rFonts w:ascii="Garamond" w:hAnsi="Garamond"/>
                <w:lang w:val="en-US"/>
              </w:rPr>
              <w:t>ment climate of the ETS.</w:t>
            </w:r>
            <w:r w:rsidRPr="000E10C3">
              <w:rPr>
                <w:rFonts w:ascii="Garamond" w:hAnsi="Garamond"/>
                <w:lang w:val="en-US"/>
              </w:rPr>
              <w:t>” (p</w:t>
            </w:r>
            <w:r>
              <w:rPr>
                <w:rFonts w:ascii="Garamond" w:hAnsi="Garamond"/>
                <w:lang w:val="en-US"/>
              </w:rPr>
              <w:t>1</w:t>
            </w:r>
            <w:r w:rsidRPr="000E10C3">
              <w:rPr>
                <w:rFonts w:ascii="Garamond" w:hAnsi="Garamond"/>
                <w:lang w:val="en-US"/>
              </w:rPr>
              <w:t>)</w:t>
            </w:r>
          </w:p>
        </w:tc>
        <w:tc>
          <w:tcPr>
            <w:tcW w:w="4961" w:type="dxa"/>
            <w:vAlign w:val="center"/>
          </w:tcPr>
          <w:p w:rsidR="00095A0B" w:rsidRPr="00447E9E" w:rsidRDefault="00095A0B" w:rsidP="00393588">
            <w:pPr>
              <w:rPr>
                <w:rFonts w:ascii="Garamond" w:hAnsi="Garamond"/>
                <w:lang w:val="en-US"/>
              </w:rPr>
            </w:pPr>
            <w:r w:rsidRPr="00447E9E">
              <w:rPr>
                <w:rFonts w:ascii="Garamond" w:hAnsi="Garamond"/>
                <w:lang w:val="en-US"/>
              </w:rPr>
              <w:t>“</w:t>
            </w:r>
            <w:r w:rsidR="00C66295" w:rsidRPr="00393588">
              <w:rPr>
                <w:rFonts w:ascii="Garamond" w:hAnsi="Garamond"/>
                <w:lang w:val="en-US"/>
              </w:rPr>
              <w:t>an instrument that has historically faced political o</w:t>
            </w:r>
            <w:r w:rsidR="00C66295" w:rsidRPr="00393588">
              <w:rPr>
                <w:rFonts w:ascii="Garamond" w:hAnsi="Garamond"/>
                <w:lang w:val="en-US"/>
              </w:rPr>
              <w:t>p</w:t>
            </w:r>
            <w:r w:rsidR="00C66295" w:rsidRPr="00393588">
              <w:rPr>
                <w:rFonts w:ascii="Garamond" w:hAnsi="Garamond"/>
                <w:lang w:val="en-US"/>
              </w:rPr>
              <w:t>position,</w:t>
            </w:r>
            <w:r w:rsidRPr="00447E9E">
              <w:rPr>
                <w:rFonts w:ascii="Garamond" w:hAnsi="Garamond"/>
                <w:lang w:val="en-US"/>
              </w:rPr>
              <w:t>” (p</w:t>
            </w:r>
            <w:r w:rsidR="00C66295">
              <w:rPr>
                <w:rFonts w:ascii="Garamond" w:hAnsi="Garamond"/>
                <w:lang w:val="en-US"/>
              </w:rPr>
              <w:t>2</w:t>
            </w:r>
            <w:r w:rsidRPr="00447E9E">
              <w:rPr>
                <w:rFonts w:ascii="Garamond" w:hAnsi="Garamond"/>
                <w:lang w:val="en-US"/>
              </w:rPr>
              <w:t>)</w:t>
            </w:r>
          </w:p>
        </w:tc>
      </w:tr>
      <w:tr w:rsidR="00095A0B" w:rsidRPr="003F4663" w:rsidTr="00095A0B">
        <w:trPr>
          <w:trHeight w:val="571"/>
        </w:trPr>
        <w:tc>
          <w:tcPr>
            <w:tcW w:w="5070" w:type="dxa"/>
            <w:vAlign w:val="center"/>
          </w:tcPr>
          <w:p w:rsidR="00095A0B" w:rsidRPr="000E10C3" w:rsidRDefault="00095A0B" w:rsidP="00393588">
            <w:pPr>
              <w:rPr>
                <w:rFonts w:ascii="Garamond" w:hAnsi="Garamond"/>
                <w:lang w:val="en-US"/>
              </w:rPr>
            </w:pPr>
            <w:r w:rsidRPr="003F4663">
              <w:rPr>
                <w:rFonts w:ascii="Garamond" w:hAnsi="Garamond"/>
                <w:lang w:val="en-US"/>
              </w:rPr>
              <w:t>“</w:t>
            </w:r>
            <w:r w:rsidR="00CF2A45" w:rsidRPr="00393588">
              <w:rPr>
                <w:rFonts w:ascii="Garamond" w:hAnsi="Garamond"/>
                <w:lang w:val="en-US"/>
              </w:rPr>
              <w:t>It is widely viewed as a successful design feature that has stabilized prices and enhanced environmental  ou</w:t>
            </w:r>
            <w:r w:rsidR="00CF2A45" w:rsidRPr="00393588">
              <w:rPr>
                <w:rFonts w:ascii="Garamond" w:hAnsi="Garamond"/>
                <w:lang w:val="en-US"/>
              </w:rPr>
              <w:t>t</w:t>
            </w:r>
            <w:r w:rsidR="00CF2A45" w:rsidRPr="00393588">
              <w:rPr>
                <w:rFonts w:ascii="Garamond" w:hAnsi="Garamond"/>
                <w:lang w:val="en-US"/>
              </w:rPr>
              <w:t>comes</w:t>
            </w:r>
            <w:r w:rsidRPr="003F4663">
              <w:rPr>
                <w:rFonts w:ascii="Garamond" w:hAnsi="Garamond"/>
                <w:lang w:val="en-US"/>
              </w:rPr>
              <w:t>” (p</w:t>
            </w:r>
            <w:r w:rsidR="00CF2A45">
              <w:rPr>
                <w:rFonts w:ascii="Garamond" w:hAnsi="Garamond"/>
                <w:lang w:val="en-US"/>
              </w:rPr>
              <w:t>4</w:t>
            </w:r>
            <w:r w:rsidRPr="003F4663">
              <w:rPr>
                <w:rFonts w:ascii="Garamond" w:hAnsi="Garamond"/>
                <w:lang w:val="en-US"/>
              </w:rPr>
              <w:t>)</w:t>
            </w:r>
          </w:p>
        </w:tc>
        <w:tc>
          <w:tcPr>
            <w:tcW w:w="4961" w:type="dxa"/>
            <w:vAlign w:val="center"/>
          </w:tcPr>
          <w:p w:rsidR="00095A0B" w:rsidRPr="000E10C3" w:rsidRDefault="00095A0B" w:rsidP="00393588">
            <w:pPr>
              <w:rPr>
                <w:rFonts w:ascii="Garamond" w:hAnsi="Garamond"/>
                <w:lang w:val="en-US"/>
              </w:rPr>
            </w:pPr>
            <w:r w:rsidRPr="00447E9E">
              <w:rPr>
                <w:rFonts w:ascii="Garamond" w:hAnsi="Garamond"/>
                <w:lang w:val="en-US"/>
              </w:rPr>
              <w:t>“</w:t>
            </w:r>
            <w:r w:rsidR="00C66295" w:rsidRPr="00393588">
              <w:rPr>
                <w:rFonts w:ascii="Garamond" w:hAnsi="Garamond"/>
                <w:lang w:val="en-US"/>
              </w:rPr>
              <w:t>the commission states that an explicit carbon price objective would alter the nature of the EU ETS being a quantity-based market instrument</w:t>
            </w:r>
            <w:r w:rsidR="00C66295" w:rsidRPr="003F4663">
              <w:rPr>
                <w:rFonts w:ascii="Garamond" w:hAnsi="Garamond"/>
                <w:lang w:val="en-US"/>
              </w:rPr>
              <w:t>”</w:t>
            </w:r>
            <w:r w:rsidR="00C66295" w:rsidRPr="00447E9E">
              <w:rPr>
                <w:rFonts w:ascii="Garamond" w:hAnsi="Garamond"/>
                <w:lang w:val="en-US"/>
              </w:rPr>
              <w:t xml:space="preserve"> </w:t>
            </w:r>
            <w:r w:rsidRPr="00447E9E">
              <w:rPr>
                <w:rFonts w:ascii="Garamond" w:hAnsi="Garamond"/>
                <w:lang w:val="en-US"/>
              </w:rPr>
              <w:t>(p</w:t>
            </w:r>
            <w:r>
              <w:rPr>
                <w:rFonts w:ascii="Garamond" w:hAnsi="Garamond"/>
                <w:lang w:val="en-US"/>
              </w:rPr>
              <w:t>2</w:t>
            </w:r>
            <w:r w:rsidRPr="00447E9E">
              <w:rPr>
                <w:rFonts w:ascii="Garamond" w:hAnsi="Garamond"/>
                <w:lang w:val="en-US"/>
              </w:rPr>
              <w:t>)</w:t>
            </w:r>
          </w:p>
        </w:tc>
      </w:tr>
      <w:tr w:rsidR="00095A0B" w:rsidRPr="003F4663" w:rsidTr="00095A0B">
        <w:tc>
          <w:tcPr>
            <w:tcW w:w="5070" w:type="dxa"/>
            <w:vAlign w:val="center"/>
          </w:tcPr>
          <w:p w:rsidR="00095A0B" w:rsidRPr="003F4663" w:rsidRDefault="00095A0B" w:rsidP="00393588">
            <w:pPr>
              <w:rPr>
                <w:rFonts w:ascii="Garamond" w:hAnsi="Garamond"/>
                <w:lang w:val="en-US"/>
              </w:rPr>
            </w:pPr>
            <w:r w:rsidRPr="003F4663">
              <w:rPr>
                <w:rFonts w:ascii="Garamond" w:hAnsi="Garamond"/>
                <w:lang w:val="en-US"/>
              </w:rPr>
              <w:t>“</w:t>
            </w:r>
            <w:r w:rsidR="00290155" w:rsidRPr="00393588">
              <w:rPr>
                <w:rFonts w:ascii="Garamond" w:hAnsi="Garamond"/>
                <w:lang w:val="en-US"/>
              </w:rPr>
              <w:t>Prevents</w:t>
            </w:r>
            <w:r w:rsidR="00CF2A45" w:rsidRPr="00393588">
              <w:rPr>
                <w:rFonts w:ascii="Garamond" w:hAnsi="Garamond"/>
                <w:lang w:val="en-US"/>
              </w:rPr>
              <w:t xml:space="preserve"> a collapse of the trading market as a r</w:t>
            </w:r>
            <w:r w:rsidR="00CF2A45" w:rsidRPr="00393588">
              <w:rPr>
                <w:rFonts w:ascii="Garamond" w:hAnsi="Garamond"/>
                <w:lang w:val="en-US"/>
              </w:rPr>
              <w:t>e</w:t>
            </w:r>
            <w:r w:rsidR="00CF2A45" w:rsidRPr="00393588">
              <w:rPr>
                <w:rFonts w:ascii="Garamond" w:hAnsi="Garamond"/>
                <w:lang w:val="en-US"/>
              </w:rPr>
              <w:t>sult of serendipitous changes in the power system outside the market.</w:t>
            </w:r>
            <w:r w:rsidRPr="003F4663">
              <w:rPr>
                <w:rFonts w:ascii="Garamond" w:hAnsi="Garamond"/>
                <w:lang w:val="en-US"/>
              </w:rPr>
              <w:t>” (p</w:t>
            </w:r>
            <w:r w:rsidR="00CF2A45">
              <w:rPr>
                <w:rFonts w:ascii="Garamond" w:hAnsi="Garamond"/>
                <w:lang w:val="en-US"/>
              </w:rPr>
              <w:t>4</w:t>
            </w:r>
            <w:r w:rsidRPr="003F4663">
              <w:rPr>
                <w:rFonts w:ascii="Garamond" w:hAnsi="Garamond"/>
                <w:lang w:val="en-US"/>
              </w:rPr>
              <w:t>)</w:t>
            </w:r>
          </w:p>
        </w:tc>
        <w:tc>
          <w:tcPr>
            <w:tcW w:w="4961" w:type="dxa"/>
            <w:vAlign w:val="center"/>
          </w:tcPr>
          <w:p w:rsidR="00095A0B" w:rsidRPr="003F4663" w:rsidRDefault="00095A0B" w:rsidP="00393588">
            <w:pPr>
              <w:rPr>
                <w:rFonts w:ascii="Garamond" w:hAnsi="Garamond"/>
                <w:lang w:val="en-US"/>
              </w:rPr>
            </w:pPr>
            <w:r w:rsidRPr="003F4663">
              <w:rPr>
                <w:rFonts w:ascii="Garamond" w:hAnsi="Garamond"/>
                <w:lang w:val="en-US"/>
              </w:rPr>
              <w:t>“</w:t>
            </w:r>
            <w:r w:rsidR="00BE4D4B" w:rsidRPr="00393588">
              <w:rPr>
                <w:rFonts w:ascii="Garamond" w:hAnsi="Garamond"/>
                <w:lang w:val="en-US"/>
              </w:rPr>
              <w:t>price floor has been mischaracterized as a tax, an i</w:t>
            </w:r>
            <w:r w:rsidR="00BE4D4B" w:rsidRPr="00393588">
              <w:rPr>
                <w:rFonts w:ascii="Garamond" w:hAnsi="Garamond"/>
                <w:lang w:val="en-US"/>
              </w:rPr>
              <w:t>n</w:t>
            </w:r>
            <w:r w:rsidR="00BE4D4B" w:rsidRPr="00393588">
              <w:rPr>
                <w:rFonts w:ascii="Garamond" w:hAnsi="Garamond"/>
                <w:lang w:val="en-US"/>
              </w:rPr>
              <w:t>strument associated with political difficulties historica</w:t>
            </w:r>
            <w:r w:rsidR="00BE4D4B" w:rsidRPr="00393588">
              <w:rPr>
                <w:rFonts w:ascii="Garamond" w:hAnsi="Garamond"/>
                <w:lang w:val="en-US"/>
              </w:rPr>
              <w:t>l</w:t>
            </w:r>
            <w:r w:rsidR="00BE4D4B" w:rsidRPr="00393588">
              <w:rPr>
                <w:rFonts w:ascii="Garamond" w:hAnsi="Garamond"/>
                <w:lang w:val="en-US"/>
              </w:rPr>
              <w:t>ly</w:t>
            </w:r>
            <w:r w:rsidRPr="003F4663">
              <w:rPr>
                <w:rFonts w:ascii="Garamond" w:hAnsi="Garamond"/>
                <w:lang w:val="en-US"/>
              </w:rPr>
              <w:t>” (p</w:t>
            </w:r>
            <w:r w:rsidR="00393588">
              <w:rPr>
                <w:rFonts w:ascii="Garamond" w:hAnsi="Garamond"/>
                <w:lang w:val="en-US"/>
              </w:rPr>
              <w:t>5</w:t>
            </w:r>
            <w:r w:rsidRPr="003F4663">
              <w:rPr>
                <w:rFonts w:ascii="Garamond" w:hAnsi="Garamond"/>
                <w:lang w:val="en-US"/>
              </w:rPr>
              <w:t xml:space="preserve">) </w:t>
            </w:r>
          </w:p>
        </w:tc>
      </w:tr>
      <w:tr w:rsidR="00095A0B" w:rsidRPr="0035099B" w:rsidTr="00095A0B">
        <w:tc>
          <w:tcPr>
            <w:tcW w:w="5070" w:type="dxa"/>
            <w:vAlign w:val="center"/>
          </w:tcPr>
          <w:p w:rsidR="00095A0B" w:rsidRPr="003F4663" w:rsidRDefault="00095A0B" w:rsidP="00393588">
            <w:pPr>
              <w:rPr>
                <w:rFonts w:ascii="Garamond" w:hAnsi="Garamond"/>
                <w:lang w:val="en-US"/>
              </w:rPr>
            </w:pPr>
            <w:r w:rsidRPr="003F4663">
              <w:rPr>
                <w:rFonts w:ascii="Garamond" w:hAnsi="Garamond"/>
                <w:lang w:val="en-US"/>
              </w:rPr>
              <w:t>“</w:t>
            </w:r>
            <w:r w:rsidR="00393588" w:rsidRPr="00393588">
              <w:rPr>
                <w:rFonts w:ascii="Garamond" w:hAnsi="Garamond"/>
                <w:lang w:val="en-US"/>
              </w:rPr>
              <w:t>price floor is not a tax</w:t>
            </w:r>
            <w:r w:rsidRPr="003F4663">
              <w:rPr>
                <w:rFonts w:ascii="Garamond" w:hAnsi="Garamond"/>
                <w:lang w:val="en-US"/>
              </w:rPr>
              <w:t>” (p</w:t>
            </w:r>
            <w:r w:rsidR="00393588">
              <w:rPr>
                <w:rFonts w:ascii="Garamond" w:hAnsi="Garamond"/>
                <w:lang w:val="en-US"/>
              </w:rPr>
              <w:t>5</w:t>
            </w:r>
            <w:r w:rsidRPr="003F4663">
              <w:rPr>
                <w:rFonts w:ascii="Garamond" w:hAnsi="Garamond"/>
                <w:lang w:val="en-US"/>
              </w:rPr>
              <w:t>)</w:t>
            </w:r>
          </w:p>
        </w:tc>
        <w:tc>
          <w:tcPr>
            <w:tcW w:w="4961" w:type="dxa"/>
          </w:tcPr>
          <w:p w:rsidR="00095A0B" w:rsidRPr="003F4663" w:rsidRDefault="00095A0B" w:rsidP="00095A0B">
            <w:pPr>
              <w:pStyle w:val="Default"/>
              <w:rPr>
                <w:rFonts w:ascii="Garamond" w:hAnsi="Garamond" w:cstheme="minorBidi"/>
                <w:color w:val="auto"/>
                <w:lang w:val="en-US"/>
              </w:rPr>
            </w:pPr>
          </w:p>
        </w:tc>
      </w:tr>
      <w:tr w:rsidR="00095A0B" w:rsidRPr="00503747" w:rsidTr="00095A0B">
        <w:trPr>
          <w:trHeight w:val="743"/>
        </w:trPr>
        <w:tc>
          <w:tcPr>
            <w:tcW w:w="5070" w:type="dxa"/>
          </w:tcPr>
          <w:p w:rsidR="00095A0B" w:rsidRPr="007546EA" w:rsidRDefault="00095A0B" w:rsidP="00393588">
            <w:pPr>
              <w:rPr>
                <w:rFonts w:ascii="Garamond" w:hAnsi="Garamond"/>
                <w:lang w:val="en-US"/>
              </w:rPr>
            </w:pPr>
            <w:r w:rsidRPr="000E10C3">
              <w:rPr>
                <w:rFonts w:ascii="Garamond" w:hAnsi="Garamond"/>
                <w:lang w:val="en-US"/>
              </w:rPr>
              <w:t>“</w:t>
            </w:r>
            <w:r w:rsidR="00393588" w:rsidRPr="00393588">
              <w:rPr>
                <w:rFonts w:ascii="Garamond" w:hAnsi="Garamond"/>
                <w:lang w:val="en-US"/>
              </w:rPr>
              <w:t>Some portion of the market including industry may receive allowances for free. The value of that alloc</w:t>
            </w:r>
            <w:r w:rsidR="00393588" w:rsidRPr="00393588">
              <w:rPr>
                <w:rFonts w:ascii="Garamond" w:hAnsi="Garamond"/>
                <w:lang w:val="en-US"/>
              </w:rPr>
              <w:t>a</w:t>
            </w:r>
            <w:r w:rsidR="00393588" w:rsidRPr="00393588">
              <w:rPr>
                <w:rFonts w:ascii="Garamond" w:hAnsi="Garamond"/>
                <w:lang w:val="en-US"/>
              </w:rPr>
              <w:t>tion is reinforced by the price floor in the auction.</w:t>
            </w:r>
            <w:r w:rsidRPr="000E10C3">
              <w:rPr>
                <w:rFonts w:ascii="Garamond" w:hAnsi="Garamond"/>
                <w:lang w:val="en-US"/>
              </w:rPr>
              <w:t>”</w:t>
            </w:r>
            <w:r>
              <w:rPr>
                <w:rFonts w:ascii="Garamond" w:hAnsi="Garamond"/>
                <w:lang w:val="en-US"/>
              </w:rPr>
              <w:t xml:space="preserve"> (p</w:t>
            </w:r>
            <w:r w:rsidR="00393588">
              <w:rPr>
                <w:rFonts w:ascii="Garamond" w:hAnsi="Garamond"/>
                <w:lang w:val="en-US"/>
              </w:rPr>
              <w:t>5</w:t>
            </w:r>
            <w:r>
              <w:rPr>
                <w:rFonts w:ascii="Garamond" w:hAnsi="Garamond"/>
                <w:lang w:val="en-US"/>
              </w:rPr>
              <w:t>)</w:t>
            </w:r>
          </w:p>
        </w:tc>
        <w:tc>
          <w:tcPr>
            <w:tcW w:w="4961" w:type="dxa"/>
          </w:tcPr>
          <w:p w:rsidR="00095A0B" w:rsidRPr="00393588" w:rsidRDefault="00095A0B" w:rsidP="00393588">
            <w:pPr>
              <w:pStyle w:val="Default"/>
              <w:autoSpaceDE/>
              <w:adjustRightInd/>
              <w:rPr>
                <w:rFonts w:ascii="Garamond" w:hAnsi="Garamond" w:cstheme="minorBidi"/>
                <w:color w:val="auto"/>
                <w:lang w:val="en-US"/>
              </w:rPr>
            </w:pPr>
          </w:p>
        </w:tc>
      </w:tr>
      <w:tr w:rsidR="00095A0B" w:rsidRPr="00503747" w:rsidTr="00095A0B">
        <w:trPr>
          <w:trHeight w:val="743"/>
        </w:trPr>
        <w:tc>
          <w:tcPr>
            <w:tcW w:w="5070" w:type="dxa"/>
          </w:tcPr>
          <w:p w:rsidR="00095A0B" w:rsidRPr="000E10C3" w:rsidRDefault="00095A0B" w:rsidP="00401182">
            <w:pPr>
              <w:rPr>
                <w:rFonts w:ascii="Garamond" w:hAnsi="Garamond"/>
                <w:lang w:val="en-US"/>
              </w:rPr>
            </w:pPr>
            <w:r w:rsidRPr="000E10C3">
              <w:rPr>
                <w:rFonts w:ascii="Garamond" w:hAnsi="Garamond"/>
                <w:lang w:val="en-US"/>
              </w:rPr>
              <w:t>“</w:t>
            </w:r>
            <w:r w:rsidR="00393588" w:rsidRPr="00393588">
              <w:rPr>
                <w:rFonts w:ascii="Garamond" w:hAnsi="Garamond"/>
                <w:lang w:val="en-US"/>
              </w:rPr>
              <w:t>a price floor independently or in combination with a price cap significantly improves welfare and the perfo</w:t>
            </w:r>
            <w:r w:rsidR="00393588" w:rsidRPr="00393588">
              <w:rPr>
                <w:rFonts w:ascii="Garamond" w:hAnsi="Garamond"/>
                <w:lang w:val="en-US"/>
              </w:rPr>
              <w:t>r</w:t>
            </w:r>
            <w:r w:rsidR="00393588" w:rsidRPr="00393588">
              <w:rPr>
                <w:rFonts w:ascii="Garamond" w:hAnsi="Garamond"/>
                <w:lang w:val="en-US"/>
              </w:rPr>
              <w:t>mance of a trading program</w:t>
            </w:r>
            <w:r w:rsidRPr="000E10C3">
              <w:rPr>
                <w:rFonts w:ascii="Garamond" w:hAnsi="Garamond"/>
                <w:lang w:val="en-US"/>
              </w:rPr>
              <w:t>”</w:t>
            </w:r>
            <w:r>
              <w:rPr>
                <w:rFonts w:ascii="Garamond" w:hAnsi="Garamond"/>
                <w:lang w:val="en-US"/>
              </w:rPr>
              <w:t xml:space="preserve"> (p</w:t>
            </w:r>
            <w:r w:rsidR="00401182">
              <w:rPr>
                <w:rFonts w:ascii="Garamond" w:hAnsi="Garamond"/>
                <w:lang w:val="en-US"/>
              </w:rPr>
              <w:t>6</w:t>
            </w:r>
            <w:r>
              <w:rPr>
                <w:rFonts w:ascii="Garamond" w:hAnsi="Garamond"/>
                <w:lang w:val="en-US"/>
              </w:rPr>
              <w:t>)</w:t>
            </w:r>
          </w:p>
        </w:tc>
        <w:tc>
          <w:tcPr>
            <w:tcW w:w="4961" w:type="dxa"/>
          </w:tcPr>
          <w:p w:rsidR="00095A0B" w:rsidRPr="00503747" w:rsidRDefault="00095A0B" w:rsidP="00095A0B">
            <w:pPr>
              <w:pStyle w:val="Default"/>
              <w:rPr>
                <w:lang w:val="en-US"/>
              </w:rPr>
            </w:pPr>
          </w:p>
        </w:tc>
      </w:tr>
      <w:tr w:rsidR="00393588" w:rsidRPr="00503747" w:rsidTr="00393588">
        <w:trPr>
          <w:trHeight w:val="563"/>
        </w:trPr>
        <w:tc>
          <w:tcPr>
            <w:tcW w:w="5070" w:type="dxa"/>
          </w:tcPr>
          <w:p w:rsidR="00393588" w:rsidRPr="000E10C3" w:rsidRDefault="00393588" w:rsidP="00401182">
            <w:pPr>
              <w:rPr>
                <w:rFonts w:ascii="Garamond" w:hAnsi="Garamond"/>
                <w:lang w:val="en-US"/>
              </w:rPr>
            </w:pPr>
            <w:r w:rsidRPr="000E10C3">
              <w:rPr>
                <w:rFonts w:ascii="Garamond" w:hAnsi="Garamond"/>
                <w:lang w:val="en-US"/>
              </w:rPr>
              <w:t>“</w:t>
            </w:r>
            <w:r w:rsidRPr="00393588">
              <w:rPr>
                <w:rFonts w:ascii="Garamond" w:hAnsi="Garamond"/>
                <w:lang w:val="en-US"/>
              </w:rPr>
              <w:t>low allowance price should trigger the desire to pu</w:t>
            </w:r>
            <w:r w:rsidRPr="00393588">
              <w:rPr>
                <w:rFonts w:ascii="Garamond" w:hAnsi="Garamond"/>
                <w:lang w:val="en-US"/>
              </w:rPr>
              <w:t>r</w:t>
            </w:r>
            <w:r w:rsidRPr="00393588">
              <w:rPr>
                <w:rFonts w:ascii="Garamond" w:hAnsi="Garamond"/>
                <w:lang w:val="en-US"/>
              </w:rPr>
              <w:t>chase greater emissions reductions</w:t>
            </w:r>
            <w:r w:rsidRPr="000E10C3">
              <w:rPr>
                <w:rFonts w:ascii="Garamond" w:hAnsi="Garamond"/>
                <w:lang w:val="en-US"/>
              </w:rPr>
              <w:t>”</w:t>
            </w:r>
            <w:r>
              <w:rPr>
                <w:rFonts w:ascii="Garamond" w:hAnsi="Garamond"/>
                <w:lang w:val="en-US"/>
              </w:rPr>
              <w:t xml:space="preserve"> (p</w:t>
            </w:r>
            <w:r w:rsidR="00401182">
              <w:rPr>
                <w:rFonts w:ascii="Garamond" w:hAnsi="Garamond"/>
                <w:lang w:val="en-US"/>
              </w:rPr>
              <w:t>6</w:t>
            </w:r>
            <w:r>
              <w:rPr>
                <w:rFonts w:ascii="Garamond" w:hAnsi="Garamond"/>
                <w:lang w:val="en-US"/>
              </w:rPr>
              <w:t>)</w:t>
            </w:r>
          </w:p>
        </w:tc>
        <w:tc>
          <w:tcPr>
            <w:tcW w:w="4961" w:type="dxa"/>
          </w:tcPr>
          <w:p w:rsidR="00393588" w:rsidRPr="00503747" w:rsidRDefault="00393588" w:rsidP="00393588">
            <w:pPr>
              <w:pStyle w:val="Default"/>
              <w:rPr>
                <w:lang w:val="en-US"/>
              </w:rPr>
            </w:pPr>
          </w:p>
        </w:tc>
      </w:tr>
      <w:tr w:rsidR="00393588" w:rsidRPr="00503747" w:rsidTr="00095A0B">
        <w:trPr>
          <w:trHeight w:val="743"/>
        </w:trPr>
        <w:tc>
          <w:tcPr>
            <w:tcW w:w="5070" w:type="dxa"/>
          </w:tcPr>
          <w:p w:rsidR="00393588" w:rsidRPr="000E10C3" w:rsidRDefault="00393588" w:rsidP="00401182">
            <w:pPr>
              <w:rPr>
                <w:rFonts w:ascii="Garamond" w:hAnsi="Garamond"/>
                <w:lang w:val="en-US"/>
              </w:rPr>
            </w:pPr>
            <w:r w:rsidRPr="000E10C3">
              <w:rPr>
                <w:rFonts w:ascii="Garamond" w:hAnsi="Garamond"/>
                <w:lang w:val="en-US"/>
              </w:rPr>
              <w:t>“</w:t>
            </w:r>
            <w:r w:rsidR="00401182" w:rsidRPr="00401182">
              <w:rPr>
                <w:rFonts w:ascii="Garamond" w:hAnsi="Garamond"/>
                <w:lang w:val="en-US"/>
              </w:rPr>
              <w:t>If implemented in phase 4 of the EU ETS, starting in 2020, a price floor would be likely to influence the mi</w:t>
            </w:r>
            <w:r w:rsidR="00401182" w:rsidRPr="00401182">
              <w:rPr>
                <w:rFonts w:ascii="Garamond" w:hAnsi="Garamond"/>
                <w:lang w:val="en-US"/>
              </w:rPr>
              <w:t>n</w:t>
            </w:r>
            <w:r w:rsidR="00401182" w:rsidRPr="00401182">
              <w:rPr>
                <w:rFonts w:ascii="Garamond" w:hAnsi="Garamond"/>
                <w:lang w:val="en-US"/>
              </w:rPr>
              <w:t>imum price for the later years of phase 3 because of the opportunity for banking</w:t>
            </w:r>
            <w:r w:rsidRPr="000E10C3">
              <w:rPr>
                <w:rFonts w:ascii="Garamond" w:hAnsi="Garamond"/>
                <w:lang w:val="en-US"/>
              </w:rPr>
              <w:t>”</w:t>
            </w:r>
            <w:r>
              <w:rPr>
                <w:rFonts w:ascii="Garamond" w:hAnsi="Garamond"/>
                <w:lang w:val="en-US"/>
              </w:rPr>
              <w:t xml:space="preserve"> (p</w:t>
            </w:r>
            <w:r w:rsidR="00401182">
              <w:rPr>
                <w:rFonts w:ascii="Garamond" w:hAnsi="Garamond"/>
                <w:lang w:val="en-US"/>
              </w:rPr>
              <w:t>6</w:t>
            </w:r>
            <w:r>
              <w:rPr>
                <w:rFonts w:ascii="Garamond" w:hAnsi="Garamond"/>
                <w:lang w:val="en-US"/>
              </w:rPr>
              <w:t>)</w:t>
            </w:r>
          </w:p>
        </w:tc>
        <w:tc>
          <w:tcPr>
            <w:tcW w:w="4961" w:type="dxa"/>
          </w:tcPr>
          <w:p w:rsidR="00393588" w:rsidRPr="00503747" w:rsidRDefault="00393588" w:rsidP="00393588">
            <w:pPr>
              <w:pStyle w:val="Default"/>
              <w:rPr>
                <w:lang w:val="en-US"/>
              </w:rPr>
            </w:pPr>
          </w:p>
        </w:tc>
      </w:tr>
    </w:tbl>
    <w:p w:rsidR="00095A0B" w:rsidRPr="00503747" w:rsidRDefault="00095A0B" w:rsidP="00095A0B">
      <w:pPr>
        <w:spacing w:line="276" w:lineRule="auto"/>
        <w:jc w:val="both"/>
        <w:rPr>
          <w:rFonts w:asciiTheme="minorHAnsi" w:hAnsiTheme="minorHAnsi" w:cstheme="minorHAnsi"/>
          <w:lang w:val="en-US"/>
        </w:rPr>
      </w:pPr>
    </w:p>
    <w:p w:rsidR="00401182" w:rsidRDefault="00401182">
      <w:pPr>
        <w:rPr>
          <w:rFonts w:asciiTheme="minorHAnsi" w:hAnsiTheme="minorHAnsi" w:cstheme="minorHAnsi"/>
          <w:lang w:val="en-US"/>
        </w:rPr>
      </w:pPr>
      <w:r>
        <w:rPr>
          <w:rFonts w:asciiTheme="minorHAnsi" w:hAnsiTheme="minorHAnsi" w:cstheme="minorHAnsi"/>
          <w:lang w:val="en-US"/>
        </w:rPr>
        <w:br w:type="page"/>
      </w:r>
    </w:p>
    <w:p w:rsidR="00401182" w:rsidRDefault="00401182" w:rsidP="00401182">
      <w:pPr>
        <w:widowControl/>
        <w:suppressAutoHyphens w:val="0"/>
        <w:autoSpaceDE w:val="0"/>
        <w:adjustRightInd w:val="0"/>
        <w:jc w:val="both"/>
        <w:textAlignment w:val="auto"/>
        <w:rPr>
          <w:rFonts w:asciiTheme="minorHAnsi" w:hAnsiTheme="minorHAnsi" w:cstheme="minorHAnsi"/>
          <w:sz w:val="22"/>
          <w:szCs w:val="21"/>
          <w:lang w:val="en-US"/>
        </w:rPr>
      </w:pPr>
      <w:r w:rsidRPr="00401182">
        <w:rPr>
          <w:rFonts w:asciiTheme="minorHAnsi" w:hAnsiTheme="minorHAnsi" w:cstheme="minorHAnsi" w:hint="eastAsia"/>
          <w:b/>
          <w:i/>
          <w:color w:val="FF0000"/>
          <w:sz w:val="16"/>
          <w:lang w:val="en-US"/>
        </w:rPr>
        <w:lastRenderedPageBreak/>
        <w:t xml:space="preserve">Van </w:t>
      </w:r>
      <w:proofErr w:type="spellStart"/>
      <w:r w:rsidRPr="00401182">
        <w:rPr>
          <w:rFonts w:asciiTheme="minorHAnsi" w:hAnsiTheme="minorHAnsi" w:cstheme="minorHAnsi" w:hint="eastAsia"/>
          <w:b/>
          <w:i/>
          <w:color w:val="FF0000"/>
          <w:sz w:val="16"/>
          <w:lang w:val="en-US"/>
        </w:rPr>
        <w:t>der</w:t>
      </w:r>
      <w:proofErr w:type="spellEnd"/>
      <w:r w:rsidRPr="00401182">
        <w:rPr>
          <w:rFonts w:asciiTheme="minorHAnsi" w:hAnsiTheme="minorHAnsi" w:cstheme="minorHAnsi" w:hint="eastAsia"/>
          <w:b/>
          <w:i/>
          <w:color w:val="FF0000"/>
          <w:sz w:val="16"/>
          <w:lang w:val="en-US"/>
        </w:rPr>
        <w:t xml:space="preserve"> Werf_Presentation.pdf</w:t>
      </w:r>
    </w:p>
    <w:p w:rsidR="00401182" w:rsidRDefault="00401182" w:rsidP="00401182">
      <w:pPr>
        <w:widowControl/>
        <w:suppressAutoHyphens w:val="0"/>
        <w:autoSpaceDE w:val="0"/>
        <w:adjustRightInd w:val="0"/>
        <w:jc w:val="both"/>
        <w:textAlignment w:val="auto"/>
        <w:rPr>
          <w:rFonts w:asciiTheme="minorHAnsi" w:hAnsiTheme="minorHAnsi" w:cstheme="minorHAnsi"/>
          <w:sz w:val="22"/>
          <w:szCs w:val="21"/>
          <w:lang w:val="en-US"/>
        </w:rPr>
      </w:pPr>
    </w:p>
    <w:p w:rsidR="00401182" w:rsidRDefault="00401182" w:rsidP="00401182">
      <w:pPr>
        <w:widowControl/>
        <w:suppressAutoHyphens w:val="0"/>
        <w:autoSpaceDE w:val="0"/>
        <w:adjustRightInd w:val="0"/>
        <w:jc w:val="both"/>
        <w:textAlignment w:val="auto"/>
        <w:rPr>
          <w:rFonts w:asciiTheme="minorHAnsi" w:hAnsiTheme="minorHAnsi" w:cstheme="minorHAnsi"/>
          <w:sz w:val="22"/>
          <w:szCs w:val="21"/>
          <w:lang w:val="en-US"/>
        </w:rPr>
      </w:pPr>
    </w:p>
    <w:p w:rsidR="00401182" w:rsidRDefault="00401182" w:rsidP="00401182">
      <w:pPr>
        <w:widowControl/>
        <w:suppressAutoHyphens w:val="0"/>
        <w:autoSpaceDE w:val="0"/>
        <w:adjustRightInd w:val="0"/>
        <w:jc w:val="both"/>
        <w:textAlignment w:val="auto"/>
        <w:rPr>
          <w:rFonts w:asciiTheme="minorHAnsi" w:hAnsiTheme="minorHAnsi" w:cstheme="minorHAnsi"/>
          <w:sz w:val="22"/>
          <w:szCs w:val="21"/>
          <w:lang w:val="en-US"/>
        </w:rPr>
      </w:pPr>
      <w:r>
        <w:rPr>
          <w:rFonts w:asciiTheme="minorHAnsi" w:hAnsiTheme="minorHAnsi" w:cstheme="minorHAnsi"/>
          <w:sz w:val="22"/>
          <w:szCs w:val="21"/>
          <w:lang w:val="en-US"/>
        </w:rPr>
        <w:t>_______________________________________________________________________________________</w:t>
      </w:r>
    </w:p>
    <w:p w:rsidR="00401182" w:rsidRPr="00A37F02" w:rsidRDefault="00401182" w:rsidP="00401182">
      <w:pPr>
        <w:widowControl/>
        <w:suppressAutoHyphens w:val="0"/>
        <w:autoSpaceDE w:val="0"/>
        <w:adjustRightInd w:val="0"/>
        <w:jc w:val="both"/>
        <w:textAlignment w:val="auto"/>
        <w:rPr>
          <w:rFonts w:asciiTheme="minorHAnsi" w:hAnsiTheme="minorHAnsi" w:cstheme="minorHAnsi"/>
          <w:sz w:val="22"/>
          <w:szCs w:val="21"/>
          <w:lang w:val="en-US"/>
        </w:rPr>
      </w:pPr>
      <w:r>
        <w:rPr>
          <w:rFonts w:asciiTheme="minorHAnsi" w:hAnsiTheme="minorHAnsi" w:cstheme="minorHAnsi"/>
          <w:sz w:val="22"/>
          <w:szCs w:val="21"/>
          <w:lang w:val="en-US"/>
        </w:rPr>
        <w:t xml:space="preserve">Van </w:t>
      </w:r>
      <w:proofErr w:type="spellStart"/>
      <w:r>
        <w:rPr>
          <w:rFonts w:asciiTheme="minorHAnsi" w:hAnsiTheme="minorHAnsi" w:cstheme="minorHAnsi"/>
          <w:sz w:val="22"/>
          <w:szCs w:val="21"/>
          <w:lang w:val="en-US"/>
        </w:rPr>
        <w:t>Der</w:t>
      </w:r>
      <w:proofErr w:type="spellEnd"/>
      <w:r>
        <w:rPr>
          <w:rFonts w:asciiTheme="minorHAnsi" w:hAnsiTheme="minorHAnsi" w:cstheme="minorHAnsi"/>
          <w:sz w:val="22"/>
          <w:szCs w:val="21"/>
          <w:lang w:val="en-US"/>
        </w:rPr>
        <w:t xml:space="preserve"> </w:t>
      </w:r>
      <w:proofErr w:type="spellStart"/>
      <w:r>
        <w:rPr>
          <w:rFonts w:asciiTheme="minorHAnsi" w:hAnsiTheme="minorHAnsi" w:cstheme="minorHAnsi"/>
          <w:sz w:val="22"/>
          <w:szCs w:val="21"/>
          <w:lang w:val="en-US"/>
        </w:rPr>
        <w:t>Werf</w:t>
      </w:r>
      <w:proofErr w:type="spellEnd"/>
      <w:r>
        <w:rPr>
          <w:rFonts w:asciiTheme="minorHAnsi" w:hAnsiTheme="minorHAnsi" w:cstheme="minorHAnsi"/>
          <w:sz w:val="22"/>
          <w:szCs w:val="21"/>
          <w:lang w:val="en-US"/>
        </w:rPr>
        <w:t xml:space="preserve"> E., </w:t>
      </w:r>
      <w:proofErr w:type="spellStart"/>
      <w:r>
        <w:rPr>
          <w:rFonts w:asciiTheme="minorHAnsi" w:hAnsiTheme="minorHAnsi" w:cstheme="minorHAnsi"/>
          <w:sz w:val="22"/>
          <w:szCs w:val="21"/>
          <w:lang w:val="en-US"/>
        </w:rPr>
        <w:t>Vollebergh</w:t>
      </w:r>
      <w:proofErr w:type="spellEnd"/>
      <w:r>
        <w:rPr>
          <w:rFonts w:asciiTheme="minorHAnsi" w:hAnsiTheme="minorHAnsi" w:cstheme="minorHAnsi"/>
          <w:sz w:val="22"/>
          <w:szCs w:val="21"/>
          <w:lang w:val="en-US"/>
        </w:rPr>
        <w:t xml:space="preserve"> H., </w:t>
      </w:r>
      <w:r w:rsidR="007311C0">
        <w:rPr>
          <w:rFonts w:asciiTheme="minorHAnsi" w:hAnsiTheme="minorHAnsi" w:cstheme="minorHAnsi"/>
          <w:sz w:val="22"/>
          <w:szCs w:val="21"/>
          <w:lang w:val="en-US"/>
        </w:rPr>
        <w:t>Brink, C.</w:t>
      </w:r>
      <w:r>
        <w:rPr>
          <w:rFonts w:asciiTheme="minorHAnsi" w:hAnsiTheme="minorHAnsi" w:cstheme="minorHAnsi"/>
          <w:sz w:val="22"/>
          <w:szCs w:val="21"/>
          <w:lang w:val="en-US"/>
        </w:rPr>
        <w:t xml:space="preserve">L., December 2013. </w:t>
      </w:r>
      <w:r w:rsidR="00F07207">
        <w:rPr>
          <w:rFonts w:asciiTheme="minorHAnsi" w:hAnsiTheme="minorHAnsi" w:cstheme="minorHAnsi"/>
          <w:sz w:val="22"/>
          <w:szCs w:val="21"/>
          <w:lang w:val="en-US"/>
        </w:rPr>
        <w:t xml:space="preserve">NL: </w:t>
      </w:r>
      <w:r w:rsidR="007311C0">
        <w:rPr>
          <w:rFonts w:asciiTheme="minorHAnsi" w:hAnsiTheme="minorHAnsi" w:cstheme="minorHAnsi"/>
          <w:sz w:val="22"/>
          <w:szCs w:val="21"/>
          <w:lang w:val="en-US"/>
        </w:rPr>
        <w:t>Cost-effectiveness of EU ETS reform o</w:t>
      </w:r>
      <w:r w:rsidR="007311C0">
        <w:rPr>
          <w:rFonts w:asciiTheme="minorHAnsi" w:hAnsiTheme="minorHAnsi" w:cstheme="minorHAnsi"/>
          <w:sz w:val="22"/>
          <w:szCs w:val="21"/>
          <w:lang w:val="en-US"/>
        </w:rPr>
        <w:t>p</w:t>
      </w:r>
      <w:r w:rsidR="007311C0">
        <w:rPr>
          <w:rFonts w:asciiTheme="minorHAnsi" w:hAnsiTheme="minorHAnsi" w:cstheme="minorHAnsi"/>
          <w:sz w:val="22"/>
          <w:szCs w:val="21"/>
          <w:lang w:val="en-US"/>
        </w:rPr>
        <w:t xml:space="preserve">tions, </w:t>
      </w:r>
      <w:proofErr w:type="spellStart"/>
      <w:r w:rsidR="007311C0">
        <w:rPr>
          <w:rFonts w:asciiTheme="minorHAnsi" w:hAnsiTheme="minorHAnsi" w:cstheme="minorHAnsi"/>
          <w:sz w:val="22"/>
          <w:szCs w:val="21"/>
          <w:lang w:val="en-US"/>
        </w:rPr>
        <w:t>Wageningen</w:t>
      </w:r>
      <w:proofErr w:type="spellEnd"/>
      <w:r w:rsidR="007311C0">
        <w:rPr>
          <w:rFonts w:asciiTheme="minorHAnsi" w:hAnsiTheme="minorHAnsi" w:cstheme="minorHAnsi"/>
          <w:sz w:val="22"/>
          <w:szCs w:val="21"/>
          <w:lang w:val="en-US"/>
        </w:rPr>
        <w:t xml:space="preserve"> University</w:t>
      </w:r>
    </w:p>
    <w:p w:rsidR="00401182" w:rsidRPr="00A37F02" w:rsidRDefault="00401182" w:rsidP="00401182">
      <w:pPr>
        <w:widowControl/>
        <w:suppressAutoHyphens w:val="0"/>
        <w:autoSpaceDE w:val="0"/>
        <w:adjustRightInd w:val="0"/>
        <w:jc w:val="both"/>
        <w:textAlignment w:val="auto"/>
        <w:rPr>
          <w:rFonts w:ascii="Calibri" w:hAnsi="Calibri" w:cs="Calibri"/>
          <w:sz w:val="22"/>
          <w:lang w:val="en-US"/>
        </w:rPr>
      </w:pPr>
    </w:p>
    <w:p w:rsidR="0090509A" w:rsidRPr="00A37F02" w:rsidRDefault="0090509A" w:rsidP="0090509A">
      <w:pPr>
        <w:widowControl/>
        <w:suppressAutoHyphens w:val="0"/>
        <w:autoSpaceDE w:val="0"/>
        <w:adjustRightInd w:val="0"/>
        <w:textAlignment w:val="auto"/>
        <w:rPr>
          <w:rFonts w:asciiTheme="minorHAnsi" w:hAnsiTheme="minorHAnsi" w:cstheme="minorHAnsi"/>
          <w:sz w:val="22"/>
          <w:lang w:val="en-US"/>
        </w:rPr>
      </w:pPr>
    </w:p>
    <w:p w:rsidR="0090509A" w:rsidRPr="00A37F02" w:rsidRDefault="0090509A" w:rsidP="0090509A">
      <w:pPr>
        <w:widowControl/>
        <w:suppressAutoHyphens w:val="0"/>
        <w:autoSpaceDE w:val="0"/>
        <w:adjustRightInd w:val="0"/>
        <w:textAlignment w:val="auto"/>
        <w:rPr>
          <w:rFonts w:ascii="Calibri" w:hAnsi="Calibri" w:cs="Calibri"/>
          <w:sz w:val="22"/>
          <w:lang w:val="en-US"/>
        </w:rPr>
      </w:pPr>
      <w:r w:rsidRPr="00A37F02">
        <w:rPr>
          <w:rFonts w:ascii="Calibri" w:hAnsi="Calibri" w:cs="Calibri"/>
          <w:b/>
          <w:sz w:val="22"/>
          <w:lang w:val="en-US"/>
        </w:rPr>
        <w:t>Synthesis</w:t>
      </w:r>
      <w:r w:rsidRPr="00A37F02">
        <w:rPr>
          <w:rFonts w:ascii="Calibri" w:hAnsi="Calibri" w:cs="Calibri"/>
          <w:sz w:val="22"/>
          <w:lang w:val="en-US"/>
        </w:rPr>
        <w:t>:</w:t>
      </w:r>
    </w:p>
    <w:p w:rsidR="0090509A" w:rsidRDefault="0090509A" w:rsidP="0090509A">
      <w:pPr>
        <w:spacing w:line="276" w:lineRule="auto"/>
        <w:rPr>
          <w:rFonts w:ascii="Calibri" w:hAnsi="Calibri" w:cs="Calibri"/>
          <w:sz w:val="22"/>
          <w:lang w:val="en-US"/>
        </w:rPr>
      </w:pPr>
      <w:r>
        <w:rPr>
          <w:rFonts w:ascii="Calibri" w:hAnsi="Calibri" w:cs="Calibri"/>
          <w:sz w:val="22"/>
          <w:lang w:val="en-US"/>
        </w:rPr>
        <w:t xml:space="preserve">This document sums up works done by social sciences department of </w:t>
      </w:r>
      <w:proofErr w:type="spellStart"/>
      <w:r>
        <w:rPr>
          <w:rFonts w:ascii="Calibri" w:hAnsi="Calibri" w:cs="Calibri"/>
          <w:sz w:val="22"/>
          <w:lang w:val="en-US"/>
        </w:rPr>
        <w:t>Wageningen</w:t>
      </w:r>
      <w:proofErr w:type="spellEnd"/>
      <w:r>
        <w:rPr>
          <w:rFonts w:ascii="Calibri" w:hAnsi="Calibri" w:cs="Calibri"/>
          <w:sz w:val="22"/>
          <w:lang w:val="en-US"/>
        </w:rPr>
        <w:t xml:space="preserve"> University (NL) on economic based forecasts on several correlated parameters (effective C02 price / EUA price / ETS GHG emissions) according to different systems of regulation:</w:t>
      </w:r>
    </w:p>
    <w:p w:rsidR="0090509A" w:rsidRPr="0090509A" w:rsidRDefault="0090509A" w:rsidP="0090509A">
      <w:pPr>
        <w:spacing w:line="276" w:lineRule="auto"/>
        <w:ind w:firstLine="720"/>
        <w:rPr>
          <w:rFonts w:ascii="Calibri" w:hAnsi="Calibri" w:cs="Calibri"/>
          <w:sz w:val="22"/>
          <w:lang w:val="en-US"/>
        </w:rPr>
      </w:pPr>
      <w:r w:rsidRPr="0090509A">
        <w:rPr>
          <w:rFonts w:ascii="Calibri" w:hAnsi="Calibri" w:cs="Calibri"/>
          <w:sz w:val="22"/>
          <w:lang w:val="en-US"/>
        </w:rPr>
        <w:t>1. Tighter cap (linear reduction factor; 2.6 billion EUAs)</w:t>
      </w:r>
    </w:p>
    <w:p w:rsidR="0090509A" w:rsidRPr="0090509A" w:rsidRDefault="0090509A" w:rsidP="0090509A">
      <w:pPr>
        <w:spacing w:line="276" w:lineRule="auto"/>
        <w:ind w:firstLine="720"/>
        <w:rPr>
          <w:rFonts w:ascii="Calibri" w:hAnsi="Calibri" w:cs="Calibri"/>
          <w:sz w:val="22"/>
          <w:lang w:val="en-US"/>
        </w:rPr>
      </w:pPr>
      <w:r w:rsidRPr="0090509A">
        <w:rPr>
          <w:rFonts w:ascii="Calibri" w:hAnsi="Calibri" w:cs="Calibri"/>
          <w:sz w:val="22"/>
          <w:lang w:val="en-US"/>
        </w:rPr>
        <w:t xml:space="preserve">2. Permanent set aside (900 </w:t>
      </w:r>
      <w:proofErr w:type="spellStart"/>
      <w:r w:rsidRPr="0090509A">
        <w:rPr>
          <w:rFonts w:ascii="Calibri" w:hAnsi="Calibri" w:cs="Calibri"/>
          <w:sz w:val="22"/>
          <w:lang w:val="en-US"/>
        </w:rPr>
        <w:t>mln</w:t>
      </w:r>
      <w:proofErr w:type="spellEnd"/>
      <w:r w:rsidRPr="0090509A">
        <w:rPr>
          <w:rFonts w:ascii="Calibri" w:hAnsi="Calibri" w:cs="Calibri"/>
          <w:sz w:val="22"/>
          <w:lang w:val="en-US"/>
        </w:rPr>
        <w:t xml:space="preserve"> EUAs)</w:t>
      </w:r>
    </w:p>
    <w:p w:rsidR="0090509A" w:rsidRPr="0090509A" w:rsidRDefault="0090509A" w:rsidP="0090509A">
      <w:pPr>
        <w:spacing w:line="276" w:lineRule="auto"/>
        <w:ind w:firstLine="720"/>
        <w:rPr>
          <w:rFonts w:ascii="Calibri" w:hAnsi="Calibri" w:cs="Calibri"/>
          <w:sz w:val="22"/>
          <w:lang w:val="en-US"/>
        </w:rPr>
      </w:pPr>
      <w:r w:rsidRPr="0090509A">
        <w:rPr>
          <w:rFonts w:ascii="Calibri" w:hAnsi="Calibri" w:cs="Calibri"/>
          <w:sz w:val="22"/>
          <w:lang w:val="en-US"/>
        </w:rPr>
        <w:t>3. Auction reserve price €20 – unsold EUAs into reserve</w:t>
      </w:r>
    </w:p>
    <w:p w:rsidR="0090509A" w:rsidRPr="0090509A" w:rsidRDefault="0090509A" w:rsidP="0090509A">
      <w:pPr>
        <w:spacing w:line="276" w:lineRule="auto"/>
        <w:ind w:firstLine="720"/>
        <w:rPr>
          <w:rFonts w:ascii="Calibri" w:hAnsi="Calibri" w:cs="Calibri"/>
          <w:sz w:val="22"/>
          <w:lang w:val="en-US"/>
        </w:rPr>
      </w:pPr>
      <w:r w:rsidRPr="0090509A">
        <w:rPr>
          <w:rFonts w:ascii="Calibri" w:hAnsi="Calibri" w:cs="Calibri"/>
          <w:sz w:val="22"/>
          <w:lang w:val="en-US"/>
        </w:rPr>
        <w:t>4. Variable CO2 tax fossil fuels on top of EUA price; sum</w:t>
      </w:r>
      <w:r>
        <w:rPr>
          <w:rFonts w:ascii="Calibri" w:hAnsi="Calibri" w:cs="Calibri"/>
          <w:sz w:val="22"/>
          <w:lang w:val="en-US"/>
        </w:rPr>
        <w:t xml:space="preserve"> </w:t>
      </w:r>
      <w:r w:rsidRPr="0090509A">
        <w:rPr>
          <w:rFonts w:ascii="Calibri" w:hAnsi="Calibri" w:cs="Calibri"/>
          <w:sz w:val="22"/>
          <w:lang w:val="en-US"/>
        </w:rPr>
        <w:t xml:space="preserve">equal to €20 </w:t>
      </w:r>
      <w:r>
        <w:rPr>
          <w:rFonts w:ascii="Calibri" w:hAnsi="Calibri" w:cs="Calibri"/>
          <w:sz w:val="22"/>
          <w:lang w:val="en-US"/>
        </w:rPr>
        <w:t>for power sector only (UK</w:t>
      </w:r>
      <w:r w:rsidRPr="0090509A">
        <w:rPr>
          <w:rFonts w:ascii="Calibri" w:hAnsi="Calibri" w:cs="Calibri"/>
          <w:sz w:val="22"/>
          <w:lang w:val="en-US"/>
        </w:rPr>
        <w:t>)</w:t>
      </w:r>
    </w:p>
    <w:p w:rsidR="0090509A" w:rsidRPr="0090509A" w:rsidRDefault="0090509A" w:rsidP="0090509A">
      <w:pPr>
        <w:spacing w:line="276" w:lineRule="auto"/>
        <w:ind w:firstLine="720"/>
        <w:rPr>
          <w:rFonts w:ascii="Calibri" w:hAnsi="Calibri" w:cs="Calibri"/>
          <w:sz w:val="22"/>
          <w:lang w:val="en-US"/>
        </w:rPr>
      </w:pPr>
      <w:r>
        <w:rPr>
          <w:rFonts w:ascii="Calibri" w:hAnsi="Calibri" w:cs="Calibri"/>
          <w:sz w:val="22"/>
          <w:lang w:val="en-US"/>
        </w:rPr>
        <w:t>5</w:t>
      </w:r>
      <w:r w:rsidRPr="0090509A">
        <w:rPr>
          <w:rFonts w:ascii="Calibri" w:hAnsi="Calibri" w:cs="Calibri"/>
          <w:sz w:val="22"/>
          <w:lang w:val="en-US"/>
        </w:rPr>
        <w:t>. Variable CO2 tax fossil fuels on top of EUA price; sum</w:t>
      </w:r>
      <w:r>
        <w:rPr>
          <w:rFonts w:ascii="Calibri" w:hAnsi="Calibri" w:cs="Calibri"/>
          <w:sz w:val="22"/>
          <w:lang w:val="en-US"/>
        </w:rPr>
        <w:t xml:space="preserve"> </w:t>
      </w:r>
      <w:r w:rsidRPr="0090509A">
        <w:rPr>
          <w:rFonts w:ascii="Calibri" w:hAnsi="Calibri" w:cs="Calibri"/>
          <w:sz w:val="22"/>
          <w:lang w:val="en-US"/>
        </w:rPr>
        <w:t>equal to €20 for all ETS sectors</w:t>
      </w:r>
    </w:p>
    <w:p w:rsidR="0090509A" w:rsidRPr="0090509A" w:rsidRDefault="0090509A" w:rsidP="0090509A">
      <w:pPr>
        <w:spacing w:line="276" w:lineRule="auto"/>
        <w:ind w:firstLine="720"/>
        <w:rPr>
          <w:rFonts w:ascii="Calibri" w:hAnsi="Calibri" w:cs="Calibri"/>
          <w:sz w:val="22"/>
          <w:lang w:val="en-US"/>
        </w:rPr>
      </w:pPr>
      <w:r>
        <w:rPr>
          <w:rFonts w:ascii="Calibri" w:hAnsi="Calibri" w:cs="Calibri"/>
          <w:sz w:val="22"/>
          <w:lang w:val="en-US"/>
        </w:rPr>
        <w:t>6</w:t>
      </w:r>
      <w:r w:rsidRPr="0090509A">
        <w:rPr>
          <w:rFonts w:ascii="Calibri" w:hAnsi="Calibri" w:cs="Calibri"/>
          <w:sz w:val="22"/>
          <w:lang w:val="en-US"/>
        </w:rPr>
        <w:t>. Fixed €20 CO2 tax fossil fuels for all ETS sectors</w:t>
      </w:r>
    </w:p>
    <w:p w:rsidR="0090509A" w:rsidRDefault="0090509A" w:rsidP="0090509A">
      <w:pPr>
        <w:spacing w:line="276" w:lineRule="auto"/>
        <w:rPr>
          <w:rFonts w:ascii="Calibri" w:hAnsi="Calibri" w:cs="Calibri"/>
          <w:sz w:val="22"/>
          <w:lang w:val="en-US"/>
        </w:rPr>
      </w:pPr>
      <w:r>
        <w:rPr>
          <w:rFonts w:ascii="Calibri" w:hAnsi="Calibri" w:cs="Calibri"/>
          <w:sz w:val="22"/>
          <w:lang w:val="en-US"/>
        </w:rPr>
        <w:t>Modeling hypothesis and global methodology are consistent with equivalent papers found in literature, and results are described in following graphs:</w:t>
      </w:r>
    </w:p>
    <w:p w:rsidR="0090509A" w:rsidRDefault="0090509A" w:rsidP="0090509A">
      <w:pPr>
        <w:spacing w:line="276" w:lineRule="auto"/>
        <w:jc w:val="center"/>
        <w:rPr>
          <w:rFonts w:ascii="Calibri" w:hAnsi="Calibri" w:cs="Calibri"/>
          <w:sz w:val="22"/>
          <w:lang w:val="en-US"/>
        </w:rPr>
      </w:pPr>
      <w:r>
        <w:rPr>
          <w:rFonts w:ascii="Calibri" w:hAnsi="Calibri" w:cs="Calibri"/>
          <w:noProof/>
          <w:sz w:val="22"/>
          <w:lang w:eastAsia="fr-FR" w:bidi="ar-SA"/>
        </w:rPr>
        <w:drawing>
          <wp:inline distT="0" distB="0" distL="0" distR="0">
            <wp:extent cx="4320000" cy="1756955"/>
            <wp:effectExtent l="19050" t="19050" r="23400" b="146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20000" cy="1756955"/>
                    </a:xfrm>
                    <a:prstGeom prst="rect">
                      <a:avLst/>
                    </a:prstGeom>
                    <a:noFill/>
                    <a:ln w="3175">
                      <a:solidFill>
                        <a:schemeClr val="tx1"/>
                      </a:solidFill>
                      <a:miter lim="800000"/>
                      <a:headEnd/>
                      <a:tailEnd/>
                    </a:ln>
                  </pic:spPr>
                </pic:pic>
              </a:graphicData>
            </a:graphic>
          </wp:inline>
        </w:drawing>
      </w:r>
    </w:p>
    <w:p w:rsidR="0090509A" w:rsidRPr="0090509A" w:rsidRDefault="0090509A" w:rsidP="0090509A">
      <w:pPr>
        <w:spacing w:line="276" w:lineRule="auto"/>
        <w:jc w:val="center"/>
        <w:rPr>
          <w:rFonts w:ascii="Calibri" w:hAnsi="Calibri" w:cs="Calibri"/>
          <w:sz w:val="22"/>
          <w:lang w:val="en-US"/>
        </w:rPr>
      </w:pPr>
      <w:r>
        <w:rPr>
          <w:rFonts w:ascii="Calibri" w:hAnsi="Calibri" w:cs="Calibri"/>
          <w:noProof/>
          <w:sz w:val="22"/>
          <w:lang w:eastAsia="fr-FR" w:bidi="ar-SA"/>
        </w:rPr>
        <w:drawing>
          <wp:inline distT="0" distB="0" distL="0" distR="0">
            <wp:extent cx="4320000" cy="1779409"/>
            <wp:effectExtent l="19050" t="19050" r="23400" b="11291"/>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20000" cy="1779409"/>
                    </a:xfrm>
                    <a:prstGeom prst="rect">
                      <a:avLst/>
                    </a:prstGeom>
                    <a:noFill/>
                    <a:ln w="3175">
                      <a:solidFill>
                        <a:schemeClr val="tx1"/>
                      </a:solidFill>
                      <a:miter lim="800000"/>
                      <a:headEnd/>
                      <a:tailEnd/>
                    </a:ln>
                  </pic:spPr>
                </pic:pic>
              </a:graphicData>
            </a:graphic>
          </wp:inline>
        </w:drawing>
      </w:r>
    </w:p>
    <w:p w:rsidR="0090509A" w:rsidRDefault="0090509A" w:rsidP="0090509A">
      <w:pPr>
        <w:spacing w:line="276" w:lineRule="auto"/>
        <w:rPr>
          <w:rFonts w:ascii="Calibri" w:hAnsi="Calibri" w:cs="Calibri"/>
          <w:sz w:val="22"/>
          <w:lang w:val="en-US"/>
        </w:rPr>
      </w:pPr>
    </w:p>
    <w:p w:rsidR="0090509A" w:rsidRDefault="0090509A" w:rsidP="0090509A">
      <w:pPr>
        <w:spacing w:line="276" w:lineRule="auto"/>
        <w:rPr>
          <w:rFonts w:ascii="Calibri" w:hAnsi="Calibri" w:cs="Calibri"/>
          <w:sz w:val="22"/>
          <w:lang w:val="en-US"/>
        </w:rPr>
      </w:pPr>
      <w:r>
        <w:rPr>
          <w:rFonts w:ascii="Calibri" w:hAnsi="Calibri" w:cs="Calibri"/>
          <w:sz w:val="22"/>
          <w:lang w:val="en-US"/>
        </w:rPr>
        <w:t xml:space="preserve"> </w:t>
      </w:r>
      <w:r w:rsidRPr="00A37F02">
        <w:rPr>
          <w:rFonts w:ascii="Calibri" w:hAnsi="Calibri" w:cs="Calibri"/>
          <w:sz w:val="22"/>
          <w:lang w:val="en-US"/>
        </w:rPr>
        <w:t xml:space="preserve"> </w:t>
      </w:r>
    </w:p>
    <w:p w:rsidR="00401182" w:rsidRPr="0092376D" w:rsidRDefault="00401182" w:rsidP="0090509A">
      <w:pPr>
        <w:spacing w:line="276" w:lineRule="auto"/>
        <w:jc w:val="center"/>
        <w:rPr>
          <w:rFonts w:ascii="Garamond" w:hAnsi="Garamond"/>
          <w:b/>
          <w:lang w:val="en-US"/>
        </w:rPr>
      </w:pPr>
      <w:r>
        <w:rPr>
          <w:rFonts w:ascii="Garamond" w:hAnsi="Garamond"/>
          <w:b/>
          <w:lang w:val="en-US"/>
        </w:rPr>
        <w:t>Arguments for and against a minimum carbon price</w:t>
      </w:r>
    </w:p>
    <w:tbl>
      <w:tblPr>
        <w:tblStyle w:val="Grilledutableau"/>
        <w:tblW w:w="10031" w:type="dxa"/>
        <w:tblLook w:val="04A0"/>
      </w:tblPr>
      <w:tblGrid>
        <w:gridCol w:w="5070"/>
        <w:gridCol w:w="4961"/>
      </w:tblGrid>
      <w:tr w:rsidR="00401182" w:rsidRPr="00095A0B" w:rsidTr="00401182">
        <w:tc>
          <w:tcPr>
            <w:tcW w:w="5070" w:type="dxa"/>
            <w:vAlign w:val="center"/>
          </w:tcPr>
          <w:p w:rsidR="00401182" w:rsidRPr="00614771" w:rsidRDefault="00401182" w:rsidP="00401182">
            <w:pPr>
              <w:rPr>
                <w:rFonts w:ascii="Garamond" w:hAnsi="Garamond"/>
                <w:b/>
                <w:lang w:val="en-US"/>
              </w:rPr>
            </w:pPr>
            <w:r w:rsidRPr="00614771">
              <w:rPr>
                <w:rFonts w:ascii="Garamond" w:hAnsi="Garamond"/>
                <w:b/>
                <w:lang w:val="en-US"/>
              </w:rPr>
              <w:t>FOR</w:t>
            </w:r>
          </w:p>
        </w:tc>
        <w:tc>
          <w:tcPr>
            <w:tcW w:w="4961" w:type="dxa"/>
            <w:vAlign w:val="center"/>
          </w:tcPr>
          <w:p w:rsidR="00401182" w:rsidRPr="00614771" w:rsidRDefault="00401182" w:rsidP="00401182">
            <w:pPr>
              <w:rPr>
                <w:rFonts w:ascii="Garamond" w:hAnsi="Garamond"/>
                <w:b/>
                <w:lang w:val="en-US"/>
              </w:rPr>
            </w:pPr>
            <w:r w:rsidRPr="00614771">
              <w:rPr>
                <w:rFonts w:ascii="Garamond" w:hAnsi="Garamond"/>
                <w:b/>
                <w:lang w:val="en-US"/>
              </w:rPr>
              <w:t>AGAINST</w:t>
            </w:r>
          </w:p>
        </w:tc>
      </w:tr>
      <w:tr w:rsidR="00401182" w:rsidRPr="003F4663" w:rsidTr="00401182">
        <w:trPr>
          <w:trHeight w:val="633"/>
        </w:trPr>
        <w:tc>
          <w:tcPr>
            <w:tcW w:w="5070" w:type="dxa"/>
            <w:vAlign w:val="center"/>
          </w:tcPr>
          <w:p w:rsidR="00401182" w:rsidRPr="000E10C3" w:rsidRDefault="00401182" w:rsidP="005A625F">
            <w:pPr>
              <w:autoSpaceDE w:val="0"/>
              <w:adjustRightInd w:val="0"/>
              <w:rPr>
                <w:rFonts w:ascii="Garamond" w:hAnsi="Garamond"/>
                <w:lang w:val="en-US"/>
              </w:rPr>
            </w:pPr>
            <w:r w:rsidRPr="000E10C3">
              <w:rPr>
                <w:rFonts w:ascii="Garamond" w:hAnsi="Garamond"/>
                <w:lang w:val="en-US"/>
              </w:rPr>
              <w:t>“</w:t>
            </w:r>
            <w:r w:rsidR="005A625F" w:rsidRPr="005A625F">
              <w:rPr>
                <w:rFonts w:ascii="Garamond" w:hAnsi="Garamond"/>
                <w:lang w:val="en-US"/>
              </w:rPr>
              <w:t>Auction reserve price and fixed or variable CO2 tax introduce effe</w:t>
            </w:r>
            <w:r w:rsidR="005A625F" w:rsidRPr="005A625F">
              <w:rPr>
                <w:rFonts w:ascii="Garamond" w:hAnsi="Garamond"/>
                <w:lang w:val="en-US"/>
              </w:rPr>
              <w:t>c</w:t>
            </w:r>
            <w:r w:rsidR="005A625F" w:rsidRPr="005A625F">
              <w:rPr>
                <w:rFonts w:ascii="Garamond" w:hAnsi="Garamond"/>
                <w:lang w:val="en-US"/>
              </w:rPr>
              <w:t>tive price floor</w:t>
            </w:r>
            <w:r w:rsidRPr="00393588">
              <w:rPr>
                <w:rFonts w:ascii="Garamond" w:hAnsi="Garamond"/>
                <w:lang w:val="en-US"/>
              </w:rPr>
              <w:t>.</w:t>
            </w:r>
            <w:r w:rsidRPr="000E10C3">
              <w:rPr>
                <w:rFonts w:ascii="Garamond" w:hAnsi="Garamond"/>
                <w:lang w:val="en-US"/>
              </w:rPr>
              <w:t>” (p</w:t>
            </w:r>
            <w:r>
              <w:rPr>
                <w:rFonts w:ascii="Garamond" w:hAnsi="Garamond"/>
                <w:lang w:val="en-US"/>
              </w:rPr>
              <w:t>1</w:t>
            </w:r>
            <w:r w:rsidR="008D7A1A">
              <w:rPr>
                <w:rFonts w:ascii="Garamond" w:hAnsi="Garamond"/>
                <w:lang w:val="en-US"/>
              </w:rPr>
              <w:t>0</w:t>
            </w:r>
            <w:r w:rsidRPr="000E10C3">
              <w:rPr>
                <w:rFonts w:ascii="Garamond" w:hAnsi="Garamond"/>
                <w:lang w:val="en-US"/>
              </w:rPr>
              <w:t>)</w:t>
            </w:r>
          </w:p>
        </w:tc>
        <w:tc>
          <w:tcPr>
            <w:tcW w:w="4961" w:type="dxa"/>
            <w:vAlign w:val="center"/>
          </w:tcPr>
          <w:p w:rsidR="00401182" w:rsidRPr="00447E9E" w:rsidRDefault="00401182" w:rsidP="008D7A1A">
            <w:pPr>
              <w:autoSpaceDE w:val="0"/>
              <w:adjustRightInd w:val="0"/>
              <w:rPr>
                <w:rFonts w:ascii="Garamond" w:hAnsi="Garamond"/>
                <w:lang w:val="en-US"/>
              </w:rPr>
            </w:pPr>
            <w:r w:rsidRPr="00447E9E">
              <w:rPr>
                <w:rFonts w:ascii="Garamond" w:hAnsi="Garamond"/>
                <w:lang w:val="en-US"/>
              </w:rPr>
              <w:t>“</w:t>
            </w:r>
            <w:r w:rsidR="008D7A1A" w:rsidRPr="008D7A1A">
              <w:rPr>
                <w:rFonts w:ascii="Garamond" w:hAnsi="Garamond"/>
                <w:lang w:val="en-US"/>
              </w:rPr>
              <w:t>Variable tax in different sectors is inefficient</w:t>
            </w:r>
            <w:r w:rsidR="008D7A1A" w:rsidRPr="00393588">
              <w:rPr>
                <w:rFonts w:ascii="Garamond" w:hAnsi="Garamond"/>
                <w:lang w:val="en-US"/>
              </w:rPr>
              <w:t>.</w:t>
            </w:r>
            <w:r w:rsidR="008D7A1A" w:rsidRPr="003F4663">
              <w:rPr>
                <w:rFonts w:ascii="Garamond" w:hAnsi="Garamond"/>
                <w:lang w:val="en-US"/>
              </w:rPr>
              <w:t xml:space="preserve">” </w:t>
            </w:r>
            <w:r w:rsidRPr="00447E9E">
              <w:rPr>
                <w:rFonts w:ascii="Garamond" w:hAnsi="Garamond"/>
                <w:lang w:val="en-US"/>
              </w:rPr>
              <w:t>(p</w:t>
            </w:r>
            <w:r w:rsidR="008D7A1A">
              <w:rPr>
                <w:rFonts w:ascii="Garamond" w:hAnsi="Garamond"/>
                <w:lang w:val="en-US"/>
              </w:rPr>
              <w:t>10</w:t>
            </w:r>
            <w:r w:rsidRPr="00447E9E">
              <w:rPr>
                <w:rFonts w:ascii="Garamond" w:hAnsi="Garamond"/>
                <w:lang w:val="en-US"/>
              </w:rPr>
              <w:t>)</w:t>
            </w:r>
          </w:p>
        </w:tc>
      </w:tr>
      <w:tr w:rsidR="00401182" w:rsidRPr="003F4663" w:rsidTr="008D7A1A">
        <w:trPr>
          <w:trHeight w:val="91"/>
        </w:trPr>
        <w:tc>
          <w:tcPr>
            <w:tcW w:w="5070" w:type="dxa"/>
            <w:vAlign w:val="center"/>
          </w:tcPr>
          <w:p w:rsidR="00401182" w:rsidRPr="000E10C3" w:rsidRDefault="00401182" w:rsidP="00401182">
            <w:pPr>
              <w:rPr>
                <w:rFonts w:ascii="Garamond" w:hAnsi="Garamond"/>
                <w:lang w:val="en-US"/>
              </w:rPr>
            </w:pPr>
            <w:r w:rsidRPr="003F4663">
              <w:rPr>
                <w:rFonts w:ascii="Garamond" w:hAnsi="Garamond"/>
                <w:lang w:val="en-US"/>
              </w:rPr>
              <w:t>“</w:t>
            </w:r>
            <w:r w:rsidR="005A625F" w:rsidRPr="005A625F">
              <w:rPr>
                <w:rFonts w:ascii="Garamond" w:hAnsi="Garamond"/>
                <w:lang w:val="en-US"/>
              </w:rPr>
              <w:t>Fixed tax comparable to variable tax</w:t>
            </w:r>
            <w:r w:rsidRPr="003F4663">
              <w:rPr>
                <w:rFonts w:ascii="Garamond" w:hAnsi="Garamond"/>
                <w:lang w:val="en-US"/>
              </w:rPr>
              <w:t>” (p</w:t>
            </w:r>
            <w:r w:rsidR="008D7A1A">
              <w:rPr>
                <w:rFonts w:ascii="Garamond" w:hAnsi="Garamond"/>
                <w:lang w:val="en-US"/>
              </w:rPr>
              <w:t>10</w:t>
            </w:r>
            <w:r w:rsidRPr="003F4663">
              <w:rPr>
                <w:rFonts w:ascii="Garamond" w:hAnsi="Garamond"/>
                <w:lang w:val="en-US"/>
              </w:rPr>
              <w:t>)</w:t>
            </w:r>
          </w:p>
        </w:tc>
        <w:tc>
          <w:tcPr>
            <w:tcW w:w="4961" w:type="dxa"/>
            <w:vAlign w:val="center"/>
          </w:tcPr>
          <w:p w:rsidR="00401182" w:rsidRPr="000E10C3" w:rsidRDefault="008D7A1A" w:rsidP="0090509A">
            <w:pPr>
              <w:autoSpaceDE w:val="0"/>
              <w:adjustRightInd w:val="0"/>
              <w:rPr>
                <w:rFonts w:ascii="Garamond" w:hAnsi="Garamond"/>
                <w:lang w:val="en-US"/>
              </w:rPr>
            </w:pPr>
            <w:r w:rsidRPr="003F4663">
              <w:rPr>
                <w:rFonts w:ascii="Garamond" w:hAnsi="Garamond"/>
                <w:lang w:val="en-US"/>
              </w:rPr>
              <w:t>“</w:t>
            </w:r>
            <w:r w:rsidR="0090509A" w:rsidRPr="0090509A">
              <w:rPr>
                <w:rFonts w:ascii="Garamond" w:hAnsi="Garamond"/>
                <w:lang w:val="en-US"/>
              </w:rPr>
              <w:t>Auction reserve price induces dispersed compliance</w:t>
            </w:r>
            <w:r w:rsidR="0090509A">
              <w:rPr>
                <w:rFonts w:ascii="Garamond" w:hAnsi="Garamond"/>
                <w:lang w:val="en-US"/>
              </w:rPr>
              <w:t xml:space="preserve"> </w:t>
            </w:r>
            <w:r w:rsidR="0090509A" w:rsidRPr="0090509A">
              <w:rPr>
                <w:rFonts w:ascii="Garamond" w:hAnsi="Garamond"/>
                <w:lang w:val="en-US"/>
              </w:rPr>
              <w:t>costs</w:t>
            </w:r>
            <w:r w:rsidRPr="003F4663">
              <w:rPr>
                <w:rFonts w:ascii="Garamond" w:hAnsi="Garamond"/>
                <w:lang w:val="en-US"/>
              </w:rPr>
              <w:t>” (p</w:t>
            </w:r>
            <w:r>
              <w:rPr>
                <w:rFonts w:ascii="Garamond" w:hAnsi="Garamond"/>
                <w:lang w:val="en-US"/>
              </w:rPr>
              <w:t>10</w:t>
            </w:r>
            <w:r w:rsidRPr="003F4663">
              <w:rPr>
                <w:rFonts w:ascii="Garamond" w:hAnsi="Garamond"/>
                <w:lang w:val="en-US"/>
              </w:rPr>
              <w:t>)</w:t>
            </w:r>
          </w:p>
        </w:tc>
      </w:tr>
    </w:tbl>
    <w:p w:rsidR="00401182" w:rsidRPr="00503747" w:rsidRDefault="00401182" w:rsidP="00401182">
      <w:pPr>
        <w:spacing w:line="276" w:lineRule="auto"/>
        <w:jc w:val="both"/>
        <w:rPr>
          <w:rFonts w:asciiTheme="minorHAnsi" w:hAnsiTheme="minorHAnsi" w:cstheme="minorHAnsi"/>
          <w:lang w:val="en-US"/>
        </w:rPr>
      </w:pPr>
    </w:p>
    <w:p w:rsidR="00401182" w:rsidRPr="00503747" w:rsidRDefault="00401182" w:rsidP="00401182">
      <w:pPr>
        <w:spacing w:line="276" w:lineRule="auto"/>
        <w:jc w:val="both"/>
        <w:rPr>
          <w:rFonts w:asciiTheme="minorHAnsi" w:hAnsiTheme="minorHAnsi" w:cstheme="minorHAnsi"/>
          <w:lang w:val="en-US"/>
        </w:rPr>
      </w:pPr>
    </w:p>
    <w:p w:rsidR="0090509A" w:rsidRPr="002A109B" w:rsidRDefault="002A109B" w:rsidP="0090509A">
      <w:pPr>
        <w:widowControl/>
        <w:suppressAutoHyphens w:val="0"/>
        <w:autoSpaceDE w:val="0"/>
        <w:adjustRightInd w:val="0"/>
        <w:jc w:val="both"/>
        <w:textAlignment w:val="auto"/>
        <w:rPr>
          <w:rFonts w:asciiTheme="minorHAnsi" w:hAnsiTheme="minorHAnsi" w:cstheme="minorHAnsi"/>
          <w:sz w:val="22"/>
          <w:szCs w:val="21"/>
        </w:rPr>
      </w:pPr>
      <w:r w:rsidRPr="002A109B">
        <w:rPr>
          <w:rFonts w:asciiTheme="minorHAnsi" w:hAnsiTheme="minorHAnsi" w:cstheme="minorHAnsi" w:hint="eastAsia"/>
          <w:b/>
          <w:i/>
          <w:color w:val="FF0000"/>
          <w:sz w:val="16"/>
        </w:rPr>
        <w:lastRenderedPageBreak/>
        <w:t>Telecharger-le-resume-du-rapport.pdf</w:t>
      </w:r>
    </w:p>
    <w:p w:rsidR="0090509A" w:rsidRDefault="0090509A" w:rsidP="0090509A">
      <w:pPr>
        <w:widowControl/>
        <w:suppressAutoHyphens w:val="0"/>
        <w:autoSpaceDE w:val="0"/>
        <w:adjustRightInd w:val="0"/>
        <w:jc w:val="both"/>
        <w:textAlignment w:val="auto"/>
        <w:rPr>
          <w:rFonts w:asciiTheme="minorHAnsi" w:hAnsiTheme="minorHAnsi" w:cstheme="minorHAnsi"/>
          <w:sz w:val="22"/>
          <w:szCs w:val="21"/>
        </w:rPr>
      </w:pPr>
    </w:p>
    <w:p w:rsidR="002A109B" w:rsidRPr="002A109B" w:rsidRDefault="002A109B" w:rsidP="0090509A">
      <w:pPr>
        <w:widowControl/>
        <w:suppressAutoHyphens w:val="0"/>
        <w:autoSpaceDE w:val="0"/>
        <w:adjustRightInd w:val="0"/>
        <w:jc w:val="both"/>
        <w:textAlignment w:val="auto"/>
        <w:rPr>
          <w:rFonts w:asciiTheme="minorHAnsi" w:hAnsiTheme="minorHAnsi" w:cstheme="minorHAnsi"/>
          <w:sz w:val="22"/>
          <w:szCs w:val="21"/>
        </w:rPr>
      </w:pPr>
    </w:p>
    <w:p w:rsidR="0090509A" w:rsidRDefault="0090509A" w:rsidP="0090509A">
      <w:pPr>
        <w:widowControl/>
        <w:suppressAutoHyphens w:val="0"/>
        <w:autoSpaceDE w:val="0"/>
        <w:adjustRightInd w:val="0"/>
        <w:jc w:val="both"/>
        <w:textAlignment w:val="auto"/>
        <w:rPr>
          <w:rFonts w:asciiTheme="minorHAnsi" w:hAnsiTheme="minorHAnsi" w:cstheme="minorHAnsi"/>
          <w:sz w:val="22"/>
          <w:szCs w:val="21"/>
          <w:lang w:val="en-US"/>
        </w:rPr>
      </w:pPr>
      <w:r>
        <w:rPr>
          <w:rFonts w:asciiTheme="minorHAnsi" w:hAnsiTheme="minorHAnsi" w:cstheme="minorHAnsi"/>
          <w:sz w:val="22"/>
          <w:szCs w:val="21"/>
          <w:lang w:val="en-US"/>
        </w:rPr>
        <w:t>_______________________________________________________________________________________</w:t>
      </w:r>
    </w:p>
    <w:p w:rsidR="0090509A" w:rsidRDefault="00DB43E5" w:rsidP="0090509A">
      <w:pPr>
        <w:widowControl/>
        <w:suppressAutoHyphens w:val="0"/>
        <w:autoSpaceDE w:val="0"/>
        <w:adjustRightInd w:val="0"/>
        <w:jc w:val="both"/>
        <w:textAlignment w:val="auto"/>
        <w:rPr>
          <w:rFonts w:asciiTheme="minorHAnsi" w:hAnsiTheme="minorHAnsi" w:cstheme="minorHAnsi"/>
          <w:sz w:val="22"/>
          <w:szCs w:val="21"/>
        </w:rPr>
      </w:pPr>
      <w:proofErr w:type="spellStart"/>
      <w:r>
        <w:rPr>
          <w:rFonts w:asciiTheme="minorHAnsi" w:hAnsiTheme="minorHAnsi" w:cstheme="minorHAnsi"/>
          <w:sz w:val="22"/>
          <w:szCs w:val="21"/>
        </w:rPr>
        <w:t>Canfin</w:t>
      </w:r>
      <w:proofErr w:type="spellEnd"/>
      <w:r>
        <w:rPr>
          <w:rFonts w:asciiTheme="minorHAnsi" w:hAnsiTheme="minorHAnsi" w:cstheme="minorHAnsi"/>
          <w:sz w:val="22"/>
          <w:szCs w:val="21"/>
        </w:rPr>
        <w:t xml:space="preserve"> P., Grandjean A., Juin 2015. Mobiliser les financements pour le climat : une feuille de route pour f</w:t>
      </w:r>
      <w:r>
        <w:rPr>
          <w:rFonts w:asciiTheme="minorHAnsi" w:hAnsiTheme="minorHAnsi" w:cstheme="minorHAnsi"/>
          <w:sz w:val="22"/>
          <w:szCs w:val="21"/>
        </w:rPr>
        <w:t>i</w:t>
      </w:r>
      <w:r>
        <w:rPr>
          <w:rFonts w:asciiTheme="minorHAnsi" w:hAnsiTheme="minorHAnsi" w:cstheme="minorHAnsi"/>
          <w:sz w:val="22"/>
          <w:szCs w:val="21"/>
        </w:rPr>
        <w:t xml:space="preserve">nancer l’économie </w:t>
      </w:r>
      <w:proofErr w:type="spellStart"/>
      <w:r>
        <w:rPr>
          <w:rFonts w:asciiTheme="minorHAnsi" w:hAnsiTheme="minorHAnsi" w:cstheme="minorHAnsi"/>
          <w:sz w:val="22"/>
          <w:szCs w:val="21"/>
        </w:rPr>
        <w:t>décarbonée</w:t>
      </w:r>
      <w:proofErr w:type="spellEnd"/>
      <w:r>
        <w:rPr>
          <w:rFonts w:asciiTheme="minorHAnsi" w:hAnsiTheme="minorHAnsi" w:cstheme="minorHAnsi"/>
          <w:sz w:val="22"/>
          <w:szCs w:val="21"/>
        </w:rPr>
        <w:t xml:space="preserve">. </w:t>
      </w:r>
      <w:r w:rsidR="0090509A" w:rsidRPr="0090509A">
        <w:rPr>
          <w:rFonts w:asciiTheme="minorHAnsi" w:hAnsiTheme="minorHAnsi" w:cstheme="minorHAnsi"/>
          <w:sz w:val="22"/>
          <w:szCs w:val="21"/>
        </w:rPr>
        <w:t>Rapport de la Commission P</w:t>
      </w:r>
      <w:r>
        <w:rPr>
          <w:rFonts w:asciiTheme="minorHAnsi" w:hAnsiTheme="minorHAnsi" w:cstheme="minorHAnsi"/>
          <w:sz w:val="22"/>
          <w:szCs w:val="21"/>
        </w:rPr>
        <w:t xml:space="preserve">ascal </w:t>
      </w:r>
      <w:proofErr w:type="spellStart"/>
      <w:r>
        <w:rPr>
          <w:rFonts w:asciiTheme="minorHAnsi" w:hAnsiTheme="minorHAnsi" w:cstheme="minorHAnsi"/>
          <w:sz w:val="22"/>
          <w:szCs w:val="21"/>
        </w:rPr>
        <w:t>Canfin</w:t>
      </w:r>
      <w:proofErr w:type="spellEnd"/>
      <w:r>
        <w:rPr>
          <w:rFonts w:asciiTheme="minorHAnsi" w:hAnsiTheme="minorHAnsi" w:cstheme="minorHAnsi"/>
          <w:sz w:val="22"/>
          <w:szCs w:val="21"/>
        </w:rPr>
        <w:t xml:space="preserve"> – Alain Grandjean</w:t>
      </w:r>
    </w:p>
    <w:p w:rsidR="00DB43E5" w:rsidRPr="00DB43E5" w:rsidRDefault="00DB43E5" w:rsidP="0090509A">
      <w:pPr>
        <w:widowControl/>
        <w:suppressAutoHyphens w:val="0"/>
        <w:autoSpaceDE w:val="0"/>
        <w:adjustRightInd w:val="0"/>
        <w:jc w:val="both"/>
        <w:textAlignment w:val="auto"/>
        <w:rPr>
          <w:rFonts w:ascii="Calibri" w:hAnsi="Calibri" w:cs="Calibri"/>
          <w:sz w:val="22"/>
        </w:rPr>
      </w:pPr>
    </w:p>
    <w:p w:rsidR="0090509A" w:rsidRPr="00DB43E5" w:rsidRDefault="0090509A" w:rsidP="0090509A">
      <w:pPr>
        <w:widowControl/>
        <w:suppressAutoHyphens w:val="0"/>
        <w:autoSpaceDE w:val="0"/>
        <w:adjustRightInd w:val="0"/>
        <w:textAlignment w:val="auto"/>
        <w:rPr>
          <w:rFonts w:asciiTheme="minorHAnsi" w:hAnsiTheme="minorHAnsi" w:cstheme="minorHAnsi"/>
          <w:sz w:val="22"/>
        </w:rPr>
      </w:pPr>
    </w:p>
    <w:p w:rsidR="0090509A" w:rsidRPr="00A37F02" w:rsidRDefault="0090509A" w:rsidP="0090509A">
      <w:pPr>
        <w:widowControl/>
        <w:suppressAutoHyphens w:val="0"/>
        <w:autoSpaceDE w:val="0"/>
        <w:adjustRightInd w:val="0"/>
        <w:textAlignment w:val="auto"/>
        <w:rPr>
          <w:rFonts w:ascii="Calibri" w:hAnsi="Calibri" w:cs="Calibri"/>
          <w:sz w:val="22"/>
          <w:lang w:val="en-US"/>
        </w:rPr>
      </w:pPr>
      <w:r w:rsidRPr="00A37F02">
        <w:rPr>
          <w:rFonts w:ascii="Calibri" w:hAnsi="Calibri" w:cs="Calibri"/>
          <w:b/>
          <w:sz w:val="22"/>
          <w:lang w:val="en-US"/>
        </w:rPr>
        <w:t>Synthesis</w:t>
      </w:r>
      <w:r w:rsidRPr="00A37F02">
        <w:rPr>
          <w:rFonts w:ascii="Calibri" w:hAnsi="Calibri" w:cs="Calibri"/>
          <w:sz w:val="22"/>
          <w:lang w:val="en-US"/>
        </w:rPr>
        <w:t>:</w:t>
      </w:r>
    </w:p>
    <w:p w:rsidR="0090509A" w:rsidRPr="0090509A" w:rsidRDefault="008635AC" w:rsidP="00F07207">
      <w:pPr>
        <w:spacing w:line="276" w:lineRule="auto"/>
        <w:rPr>
          <w:rFonts w:ascii="Calibri" w:hAnsi="Calibri" w:cs="Calibri"/>
          <w:sz w:val="22"/>
          <w:lang w:val="en-US"/>
        </w:rPr>
      </w:pPr>
      <w:r>
        <w:rPr>
          <w:rFonts w:ascii="Calibri" w:hAnsi="Calibri" w:cs="Calibri"/>
          <w:sz w:val="22"/>
          <w:lang w:val="en-US"/>
        </w:rPr>
        <w:t xml:space="preserve">The report summarizes conclusions of global works achieved on different ways to </w:t>
      </w:r>
      <w:r w:rsidR="00F07207">
        <w:rPr>
          <w:rFonts w:ascii="Calibri" w:hAnsi="Calibri" w:cs="Calibri"/>
          <w:sz w:val="22"/>
          <w:lang w:val="en-US"/>
        </w:rPr>
        <w:t>move towards a low-carbon financial roadmap. Carbon Price Floor/Ceiling is one of the proposed systems to make efficient the transition to low-carbon economy.</w:t>
      </w:r>
    </w:p>
    <w:p w:rsidR="0090509A" w:rsidRDefault="0090509A" w:rsidP="0090509A">
      <w:pPr>
        <w:spacing w:line="276" w:lineRule="auto"/>
        <w:rPr>
          <w:rFonts w:ascii="Calibri" w:hAnsi="Calibri" w:cs="Calibri"/>
          <w:sz w:val="22"/>
          <w:lang w:val="en-US"/>
        </w:rPr>
      </w:pPr>
      <w:r>
        <w:rPr>
          <w:rFonts w:ascii="Calibri" w:hAnsi="Calibri" w:cs="Calibri"/>
          <w:sz w:val="22"/>
          <w:lang w:val="en-US"/>
        </w:rPr>
        <w:t xml:space="preserve"> </w:t>
      </w:r>
      <w:r w:rsidRPr="00A37F02">
        <w:rPr>
          <w:rFonts w:ascii="Calibri" w:hAnsi="Calibri" w:cs="Calibri"/>
          <w:sz w:val="22"/>
          <w:lang w:val="en-US"/>
        </w:rPr>
        <w:t xml:space="preserve"> </w:t>
      </w:r>
    </w:p>
    <w:p w:rsidR="0090509A" w:rsidRPr="0092376D" w:rsidRDefault="0090509A" w:rsidP="0090509A">
      <w:pPr>
        <w:spacing w:line="276" w:lineRule="auto"/>
        <w:jc w:val="center"/>
        <w:rPr>
          <w:rFonts w:ascii="Garamond" w:hAnsi="Garamond"/>
          <w:b/>
          <w:lang w:val="en-US"/>
        </w:rPr>
      </w:pPr>
      <w:r>
        <w:rPr>
          <w:rFonts w:ascii="Garamond" w:hAnsi="Garamond"/>
          <w:b/>
          <w:lang w:val="en-US"/>
        </w:rPr>
        <w:t>Arguments for and against a minimum carbon price</w:t>
      </w:r>
    </w:p>
    <w:tbl>
      <w:tblPr>
        <w:tblStyle w:val="Grilledutableau"/>
        <w:tblW w:w="10031" w:type="dxa"/>
        <w:tblLook w:val="04A0"/>
      </w:tblPr>
      <w:tblGrid>
        <w:gridCol w:w="5070"/>
        <w:gridCol w:w="4961"/>
      </w:tblGrid>
      <w:tr w:rsidR="0090509A" w:rsidRPr="00095A0B" w:rsidTr="0090509A">
        <w:tc>
          <w:tcPr>
            <w:tcW w:w="5070" w:type="dxa"/>
            <w:vAlign w:val="center"/>
          </w:tcPr>
          <w:p w:rsidR="0090509A" w:rsidRPr="00614771" w:rsidRDefault="0090509A" w:rsidP="0090509A">
            <w:pPr>
              <w:rPr>
                <w:rFonts w:ascii="Garamond" w:hAnsi="Garamond"/>
                <w:b/>
                <w:lang w:val="en-US"/>
              </w:rPr>
            </w:pPr>
            <w:r w:rsidRPr="00614771">
              <w:rPr>
                <w:rFonts w:ascii="Garamond" w:hAnsi="Garamond"/>
                <w:b/>
                <w:lang w:val="en-US"/>
              </w:rPr>
              <w:t>FOR</w:t>
            </w:r>
          </w:p>
        </w:tc>
        <w:tc>
          <w:tcPr>
            <w:tcW w:w="4961" w:type="dxa"/>
            <w:vAlign w:val="center"/>
          </w:tcPr>
          <w:p w:rsidR="0090509A" w:rsidRPr="00614771" w:rsidRDefault="0090509A" w:rsidP="0090509A">
            <w:pPr>
              <w:rPr>
                <w:rFonts w:ascii="Garamond" w:hAnsi="Garamond"/>
                <w:b/>
                <w:lang w:val="en-US"/>
              </w:rPr>
            </w:pPr>
            <w:r w:rsidRPr="00614771">
              <w:rPr>
                <w:rFonts w:ascii="Garamond" w:hAnsi="Garamond"/>
                <w:b/>
                <w:lang w:val="en-US"/>
              </w:rPr>
              <w:t>AGAINST</w:t>
            </w:r>
          </w:p>
        </w:tc>
      </w:tr>
      <w:tr w:rsidR="0090509A" w:rsidRPr="003F4663" w:rsidTr="0090509A">
        <w:trPr>
          <w:trHeight w:val="633"/>
        </w:trPr>
        <w:tc>
          <w:tcPr>
            <w:tcW w:w="5070" w:type="dxa"/>
            <w:vAlign w:val="center"/>
          </w:tcPr>
          <w:p w:rsidR="0090509A" w:rsidRPr="000E10C3" w:rsidRDefault="0090509A" w:rsidP="008635AC">
            <w:pPr>
              <w:autoSpaceDE w:val="0"/>
              <w:adjustRightInd w:val="0"/>
              <w:rPr>
                <w:rFonts w:ascii="Garamond" w:hAnsi="Garamond"/>
                <w:lang w:val="en-US"/>
              </w:rPr>
            </w:pPr>
            <w:r w:rsidRPr="000E10C3">
              <w:rPr>
                <w:rFonts w:ascii="Garamond" w:hAnsi="Garamond"/>
                <w:lang w:val="en-US"/>
              </w:rPr>
              <w:t>“</w:t>
            </w:r>
            <w:r w:rsidR="002A109B">
              <w:rPr>
                <w:rFonts w:ascii="Garamond" w:hAnsi="Garamond"/>
                <w:lang w:val="en-US"/>
              </w:rPr>
              <w:t xml:space="preserve">implement corridor carbon price </w:t>
            </w:r>
            <w:r w:rsidR="008635AC">
              <w:rPr>
                <w:rFonts w:ascii="Garamond" w:hAnsi="Garamond"/>
                <w:lang w:val="en-US"/>
              </w:rPr>
              <w:t>with price floor around 15/20$/tCO2 in 2020 and price ceiling around 60/80$/tCO2 in 2030/2035</w:t>
            </w:r>
            <w:r w:rsidRPr="000E10C3">
              <w:rPr>
                <w:rFonts w:ascii="Garamond" w:hAnsi="Garamond"/>
                <w:lang w:val="en-US"/>
              </w:rPr>
              <w:t>” (p</w:t>
            </w:r>
            <w:r w:rsidR="008635AC">
              <w:rPr>
                <w:rFonts w:ascii="Garamond" w:hAnsi="Garamond"/>
                <w:lang w:val="en-US"/>
              </w:rPr>
              <w:t>12</w:t>
            </w:r>
            <w:r w:rsidRPr="000E10C3">
              <w:rPr>
                <w:rFonts w:ascii="Garamond" w:hAnsi="Garamond"/>
                <w:lang w:val="en-US"/>
              </w:rPr>
              <w:t>)</w:t>
            </w:r>
          </w:p>
        </w:tc>
        <w:tc>
          <w:tcPr>
            <w:tcW w:w="4961" w:type="dxa"/>
            <w:vAlign w:val="center"/>
          </w:tcPr>
          <w:p w:rsidR="0090509A" w:rsidRPr="00EA4B5D" w:rsidRDefault="00EA4B5D" w:rsidP="00EA4B5D">
            <w:pPr>
              <w:autoSpaceDE w:val="0"/>
              <w:adjustRightInd w:val="0"/>
              <w:rPr>
                <w:rFonts w:ascii="Garamond" w:hAnsi="Garamond"/>
                <w:lang w:val="en-US"/>
              </w:rPr>
            </w:pPr>
            <w:r w:rsidRPr="000E10C3">
              <w:rPr>
                <w:rFonts w:ascii="Garamond" w:hAnsi="Garamond"/>
                <w:lang w:val="en-US"/>
              </w:rPr>
              <w:t>“</w:t>
            </w:r>
            <w:r w:rsidRPr="00EA4B5D">
              <w:rPr>
                <w:rFonts w:ascii="Garamond" w:hAnsi="Garamond"/>
                <w:lang w:val="en-US"/>
              </w:rPr>
              <w:t xml:space="preserve">the introduction of </w:t>
            </w:r>
            <w:proofErr w:type="spellStart"/>
            <w:r w:rsidRPr="00EA4B5D">
              <w:rPr>
                <w:rFonts w:ascii="Garamond" w:hAnsi="Garamond"/>
                <w:lang w:val="en-US"/>
              </w:rPr>
              <w:t>sectoral</w:t>
            </w:r>
            <w:proofErr w:type="spellEnd"/>
            <w:r w:rsidRPr="00EA4B5D">
              <w:rPr>
                <w:rFonts w:ascii="Garamond" w:hAnsi="Garamond"/>
                <w:lang w:val="en-US"/>
              </w:rPr>
              <w:t xml:space="preserve"> and geographical flexibi</w:t>
            </w:r>
            <w:r w:rsidRPr="00EA4B5D">
              <w:rPr>
                <w:rFonts w:ascii="Garamond" w:hAnsi="Garamond"/>
                <w:lang w:val="en-US"/>
              </w:rPr>
              <w:t>l</w:t>
            </w:r>
            <w:r w:rsidRPr="00EA4B5D">
              <w:rPr>
                <w:rFonts w:ascii="Garamond" w:hAnsi="Garamond"/>
                <w:lang w:val="en-US"/>
              </w:rPr>
              <w:t>ity is required to improve the political economy of such a r</w:t>
            </w:r>
            <w:r w:rsidRPr="00EA4B5D">
              <w:rPr>
                <w:rFonts w:ascii="Garamond" w:hAnsi="Garamond"/>
                <w:lang w:val="en-US"/>
              </w:rPr>
              <w:t>e</w:t>
            </w:r>
            <w:r w:rsidRPr="00EA4B5D">
              <w:rPr>
                <w:rFonts w:ascii="Garamond" w:hAnsi="Garamond"/>
                <w:lang w:val="en-US"/>
              </w:rPr>
              <w:t>form</w:t>
            </w:r>
            <w:r w:rsidRPr="000E10C3">
              <w:rPr>
                <w:rFonts w:ascii="Garamond" w:hAnsi="Garamond"/>
                <w:lang w:val="en-US"/>
              </w:rPr>
              <w:t>” (p</w:t>
            </w:r>
            <w:r>
              <w:rPr>
                <w:rFonts w:ascii="Garamond" w:hAnsi="Garamond"/>
                <w:lang w:val="en-US"/>
              </w:rPr>
              <w:t>13</w:t>
            </w:r>
            <w:r w:rsidRPr="000E10C3">
              <w:rPr>
                <w:rFonts w:ascii="Garamond" w:hAnsi="Garamond"/>
                <w:lang w:val="en-US"/>
              </w:rPr>
              <w:t>)</w:t>
            </w:r>
          </w:p>
        </w:tc>
      </w:tr>
      <w:tr w:rsidR="0090509A" w:rsidRPr="003F4663" w:rsidTr="0090509A">
        <w:trPr>
          <w:trHeight w:val="91"/>
        </w:trPr>
        <w:tc>
          <w:tcPr>
            <w:tcW w:w="5070" w:type="dxa"/>
            <w:vAlign w:val="center"/>
          </w:tcPr>
          <w:p w:rsidR="0090509A" w:rsidRPr="000E10C3" w:rsidRDefault="0090509A" w:rsidP="00EA4B5D">
            <w:pPr>
              <w:autoSpaceDE w:val="0"/>
              <w:adjustRightInd w:val="0"/>
              <w:rPr>
                <w:rFonts w:ascii="Garamond" w:hAnsi="Garamond"/>
                <w:lang w:val="en-US"/>
              </w:rPr>
            </w:pPr>
            <w:r w:rsidRPr="003F4663">
              <w:rPr>
                <w:rFonts w:ascii="Garamond" w:hAnsi="Garamond"/>
                <w:lang w:val="en-US"/>
              </w:rPr>
              <w:t>“</w:t>
            </w:r>
            <w:r w:rsidR="00EA4B5D" w:rsidRPr="00EA4B5D">
              <w:rPr>
                <w:rFonts w:ascii="Garamond" w:hAnsi="Garamond"/>
                <w:lang w:val="en-US"/>
              </w:rPr>
              <w:t>combines the strength of a common political me</w:t>
            </w:r>
            <w:r w:rsidR="00EA4B5D" w:rsidRPr="00EA4B5D">
              <w:rPr>
                <w:rFonts w:ascii="Garamond" w:hAnsi="Garamond"/>
                <w:lang w:val="en-US"/>
              </w:rPr>
              <w:t>s</w:t>
            </w:r>
            <w:r w:rsidR="00EA4B5D" w:rsidRPr="00EA4B5D">
              <w:rPr>
                <w:rFonts w:ascii="Garamond" w:hAnsi="Garamond"/>
                <w:lang w:val="en-US"/>
              </w:rPr>
              <w:t>sage and the necessary flexibility to differentiate be</w:t>
            </w:r>
            <w:r w:rsidR="00EA4B5D" w:rsidRPr="00EA4B5D">
              <w:rPr>
                <w:rFonts w:ascii="Garamond" w:hAnsi="Garamond"/>
                <w:lang w:val="en-US"/>
              </w:rPr>
              <w:t>t</w:t>
            </w:r>
            <w:r w:rsidR="00EA4B5D" w:rsidRPr="00EA4B5D">
              <w:rPr>
                <w:rFonts w:ascii="Garamond" w:hAnsi="Garamond"/>
                <w:lang w:val="en-US"/>
              </w:rPr>
              <w:t>ween countries and geographical zones, both in terms of price level and time horizon</w:t>
            </w:r>
            <w:r w:rsidRPr="003F4663">
              <w:rPr>
                <w:rFonts w:ascii="Garamond" w:hAnsi="Garamond"/>
                <w:lang w:val="en-US"/>
              </w:rPr>
              <w:t>” (p</w:t>
            </w:r>
            <w:r>
              <w:rPr>
                <w:rFonts w:ascii="Garamond" w:hAnsi="Garamond"/>
                <w:lang w:val="en-US"/>
              </w:rPr>
              <w:t>1</w:t>
            </w:r>
            <w:r w:rsidR="00F07207">
              <w:rPr>
                <w:rFonts w:ascii="Garamond" w:hAnsi="Garamond"/>
                <w:lang w:val="en-US"/>
              </w:rPr>
              <w:t>2</w:t>
            </w:r>
            <w:r w:rsidRPr="003F4663">
              <w:rPr>
                <w:rFonts w:ascii="Garamond" w:hAnsi="Garamond"/>
                <w:lang w:val="en-US"/>
              </w:rPr>
              <w:t>)</w:t>
            </w:r>
          </w:p>
        </w:tc>
        <w:tc>
          <w:tcPr>
            <w:tcW w:w="4961" w:type="dxa"/>
            <w:vAlign w:val="center"/>
          </w:tcPr>
          <w:p w:rsidR="0090509A" w:rsidRPr="00EA4B5D" w:rsidRDefault="00EA4B5D" w:rsidP="00EA4B5D">
            <w:pPr>
              <w:autoSpaceDE w:val="0"/>
              <w:adjustRightInd w:val="0"/>
              <w:rPr>
                <w:rFonts w:ascii="Garamond" w:hAnsi="Garamond"/>
                <w:lang w:val="en-US"/>
              </w:rPr>
            </w:pPr>
            <w:r w:rsidRPr="00EA4B5D">
              <w:rPr>
                <w:rFonts w:ascii="Garamond" w:hAnsi="Garamond"/>
                <w:lang w:val="en-US"/>
              </w:rPr>
              <w:t>Committing to a minimum carbon price would e</w:t>
            </w:r>
            <w:r w:rsidRPr="00EA4B5D">
              <w:rPr>
                <w:rFonts w:ascii="Garamond" w:hAnsi="Garamond"/>
                <w:lang w:val="en-US"/>
              </w:rPr>
              <w:t>n</w:t>
            </w:r>
            <w:r w:rsidRPr="00EA4B5D">
              <w:rPr>
                <w:rFonts w:ascii="Garamond" w:hAnsi="Garamond"/>
                <w:lang w:val="en-US"/>
              </w:rPr>
              <w:t>sure the improved efficiency of the scheme; a max</w:t>
            </w:r>
            <w:r w:rsidRPr="00EA4B5D">
              <w:rPr>
                <w:rFonts w:ascii="Garamond" w:hAnsi="Garamond"/>
                <w:lang w:val="en-US"/>
              </w:rPr>
              <w:t>i</w:t>
            </w:r>
            <w:r w:rsidRPr="00EA4B5D">
              <w:rPr>
                <w:rFonts w:ascii="Garamond" w:hAnsi="Garamond"/>
                <w:lang w:val="en-US"/>
              </w:rPr>
              <w:t>mum carbon price provides important information to ec</w:t>
            </w:r>
            <w:r w:rsidRPr="00EA4B5D">
              <w:rPr>
                <w:rFonts w:ascii="Garamond" w:hAnsi="Garamond"/>
                <w:lang w:val="en-US"/>
              </w:rPr>
              <w:t>o</w:t>
            </w:r>
            <w:r w:rsidRPr="00EA4B5D">
              <w:rPr>
                <w:rFonts w:ascii="Garamond" w:hAnsi="Garamond"/>
                <w:lang w:val="en-US"/>
              </w:rPr>
              <w:t>nomic actors</w:t>
            </w:r>
          </w:p>
        </w:tc>
      </w:tr>
      <w:tr w:rsidR="00EA4B5D" w:rsidRPr="003F4663" w:rsidTr="0090509A">
        <w:trPr>
          <w:trHeight w:val="91"/>
        </w:trPr>
        <w:tc>
          <w:tcPr>
            <w:tcW w:w="5070" w:type="dxa"/>
            <w:vAlign w:val="center"/>
          </w:tcPr>
          <w:p w:rsidR="00EA4B5D" w:rsidRPr="003F4663" w:rsidRDefault="00EA4B5D" w:rsidP="00EA4B5D">
            <w:pPr>
              <w:autoSpaceDE w:val="0"/>
              <w:adjustRightInd w:val="0"/>
              <w:rPr>
                <w:rFonts w:ascii="Garamond" w:hAnsi="Garamond"/>
                <w:lang w:val="en-US"/>
              </w:rPr>
            </w:pPr>
            <w:r w:rsidRPr="003F4663">
              <w:rPr>
                <w:rFonts w:ascii="Garamond" w:hAnsi="Garamond"/>
                <w:lang w:val="en-US"/>
              </w:rPr>
              <w:t>“</w:t>
            </w:r>
            <w:r w:rsidRPr="00EA4B5D">
              <w:rPr>
                <w:rFonts w:ascii="Garamond" w:hAnsi="Garamond"/>
                <w:lang w:val="en-US"/>
              </w:rPr>
              <w:t>Committing to a minimum carbon price would e</w:t>
            </w:r>
            <w:r w:rsidRPr="00EA4B5D">
              <w:rPr>
                <w:rFonts w:ascii="Garamond" w:hAnsi="Garamond"/>
                <w:lang w:val="en-US"/>
              </w:rPr>
              <w:t>n</w:t>
            </w:r>
            <w:r w:rsidRPr="00EA4B5D">
              <w:rPr>
                <w:rFonts w:ascii="Garamond" w:hAnsi="Garamond"/>
                <w:lang w:val="en-US"/>
              </w:rPr>
              <w:t>sure the improved efficiency of the scheme; a maximum ca</w:t>
            </w:r>
            <w:r w:rsidRPr="00EA4B5D">
              <w:rPr>
                <w:rFonts w:ascii="Garamond" w:hAnsi="Garamond"/>
                <w:lang w:val="en-US"/>
              </w:rPr>
              <w:t>r</w:t>
            </w:r>
            <w:r w:rsidRPr="00EA4B5D">
              <w:rPr>
                <w:rFonts w:ascii="Garamond" w:hAnsi="Garamond"/>
                <w:lang w:val="en-US"/>
              </w:rPr>
              <w:t>bon price provides important information to economic actors</w:t>
            </w:r>
            <w:r w:rsidRPr="003F4663">
              <w:rPr>
                <w:rFonts w:ascii="Garamond" w:hAnsi="Garamond"/>
                <w:lang w:val="en-US"/>
              </w:rPr>
              <w:t>” (p</w:t>
            </w:r>
            <w:r>
              <w:rPr>
                <w:rFonts w:ascii="Garamond" w:hAnsi="Garamond"/>
                <w:lang w:val="en-US"/>
              </w:rPr>
              <w:t>12</w:t>
            </w:r>
            <w:r w:rsidRPr="003F4663">
              <w:rPr>
                <w:rFonts w:ascii="Garamond" w:hAnsi="Garamond"/>
                <w:lang w:val="en-US"/>
              </w:rPr>
              <w:t>)</w:t>
            </w:r>
          </w:p>
        </w:tc>
        <w:tc>
          <w:tcPr>
            <w:tcW w:w="4961" w:type="dxa"/>
            <w:vAlign w:val="center"/>
          </w:tcPr>
          <w:p w:rsidR="00EA4B5D" w:rsidRPr="00EA4B5D" w:rsidRDefault="00EA4B5D" w:rsidP="00EA4B5D">
            <w:pPr>
              <w:autoSpaceDE w:val="0"/>
              <w:adjustRightInd w:val="0"/>
              <w:rPr>
                <w:rFonts w:ascii="Garamond" w:hAnsi="Garamond"/>
                <w:lang w:val="en-US"/>
              </w:rPr>
            </w:pPr>
          </w:p>
        </w:tc>
      </w:tr>
      <w:tr w:rsidR="00EA4B5D" w:rsidRPr="003F4663" w:rsidTr="0090509A">
        <w:trPr>
          <w:trHeight w:val="91"/>
        </w:trPr>
        <w:tc>
          <w:tcPr>
            <w:tcW w:w="5070" w:type="dxa"/>
            <w:vAlign w:val="center"/>
          </w:tcPr>
          <w:p w:rsidR="00EA4B5D" w:rsidRPr="003F4663" w:rsidRDefault="00EA4B5D" w:rsidP="00EA4B5D">
            <w:pPr>
              <w:autoSpaceDE w:val="0"/>
              <w:adjustRightInd w:val="0"/>
              <w:rPr>
                <w:rFonts w:ascii="Garamond" w:hAnsi="Garamond"/>
                <w:lang w:val="en-US"/>
              </w:rPr>
            </w:pPr>
            <w:r w:rsidRPr="003F4663">
              <w:rPr>
                <w:rFonts w:ascii="Garamond" w:hAnsi="Garamond"/>
                <w:lang w:val="en-US"/>
              </w:rPr>
              <w:t>“</w:t>
            </w:r>
            <w:r w:rsidRPr="00EA4B5D">
              <w:rPr>
                <w:rFonts w:ascii="Garamond" w:hAnsi="Garamond"/>
                <w:lang w:val="en-US"/>
              </w:rPr>
              <w:t>The target price aimed for here is an ‘explicit’ price signal</w:t>
            </w:r>
            <w:r w:rsidRPr="003F4663">
              <w:rPr>
                <w:rFonts w:ascii="Garamond" w:hAnsi="Garamond"/>
                <w:lang w:val="en-US"/>
              </w:rPr>
              <w:t>” (p</w:t>
            </w:r>
            <w:r>
              <w:rPr>
                <w:rFonts w:ascii="Garamond" w:hAnsi="Garamond"/>
                <w:lang w:val="en-US"/>
              </w:rPr>
              <w:t>13</w:t>
            </w:r>
            <w:r w:rsidRPr="003F4663">
              <w:rPr>
                <w:rFonts w:ascii="Garamond" w:hAnsi="Garamond"/>
                <w:lang w:val="en-US"/>
              </w:rPr>
              <w:t>)</w:t>
            </w:r>
          </w:p>
        </w:tc>
        <w:tc>
          <w:tcPr>
            <w:tcW w:w="4961" w:type="dxa"/>
            <w:vAlign w:val="center"/>
          </w:tcPr>
          <w:p w:rsidR="00EA4B5D" w:rsidRPr="00EA4B5D" w:rsidRDefault="00EA4B5D" w:rsidP="00EA4B5D">
            <w:pPr>
              <w:autoSpaceDE w:val="0"/>
              <w:adjustRightInd w:val="0"/>
              <w:rPr>
                <w:rFonts w:ascii="Garamond" w:hAnsi="Garamond"/>
                <w:lang w:val="en-US"/>
              </w:rPr>
            </w:pPr>
          </w:p>
        </w:tc>
      </w:tr>
    </w:tbl>
    <w:p w:rsidR="0090509A" w:rsidRPr="00503747" w:rsidRDefault="0090509A" w:rsidP="0090509A">
      <w:pPr>
        <w:spacing w:line="276" w:lineRule="auto"/>
        <w:jc w:val="both"/>
        <w:rPr>
          <w:rFonts w:asciiTheme="minorHAnsi" w:hAnsiTheme="minorHAnsi" w:cstheme="minorHAnsi"/>
          <w:lang w:val="en-US"/>
        </w:rPr>
      </w:pPr>
    </w:p>
    <w:p w:rsidR="0090509A" w:rsidRPr="00503747" w:rsidRDefault="0090509A" w:rsidP="0090509A">
      <w:pPr>
        <w:spacing w:line="276" w:lineRule="auto"/>
        <w:jc w:val="both"/>
        <w:rPr>
          <w:rFonts w:asciiTheme="minorHAnsi" w:hAnsiTheme="minorHAnsi" w:cstheme="minorHAnsi"/>
          <w:lang w:val="en-US"/>
        </w:rPr>
      </w:pPr>
    </w:p>
    <w:p w:rsidR="00095A0B" w:rsidRPr="00503747" w:rsidRDefault="00095A0B" w:rsidP="00095A0B">
      <w:pPr>
        <w:spacing w:line="276" w:lineRule="auto"/>
        <w:jc w:val="both"/>
        <w:rPr>
          <w:rFonts w:asciiTheme="minorHAnsi" w:hAnsiTheme="minorHAnsi" w:cstheme="minorHAnsi"/>
          <w:lang w:val="en-US"/>
        </w:rPr>
      </w:pPr>
    </w:p>
    <w:p w:rsidR="00095A0B" w:rsidRPr="00503747" w:rsidRDefault="00095A0B" w:rsidP="00095A0B">
      <w:pPr>
        <w:pStyle w:val="Default"/>
        <w:rPr>
          <w:lang w:val="en-US"/>
        </w:rPr>
      </w:pPr>
    </w:p>
    <w:p w:rsidR="009F0EEA" w:rsidRPr="00503747" w:rsidRDefault="009F0EEA" w:rsidP="009F0EEA">
      <w:pPr>
        <w:pStyle w:val="Default"/>
        <w:rPr>
          <w:lang w:val="en-US"/>
        </w:rPr>
      </w:pPr>
    </w:p>
    <w:p w:rsidR="00EA4B5D" w:rsidRDefault="00EA4B5D">
      <w:pPr>
        <w:rPr>
          <w:rFonts w:hint="eastAsia"/>
          <w:sz w:val="22"/>
          <w:szCs w:val="22"/>
          <w:lang w:val="en-US"/>
        </w:rPr>
      </w:pPr>
    </w:p>
    <w:sectPr w:rsidR="00EA4B5D" w:rsidSect="00BF326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07" w:rsidRDefault="00F07207" w:rsidP="00BF3267">
      <w:pPr>
        <w:rPr>
          <w:rFonts w:hint="eastAsia"/>
        </w:rPr>
      </w:pPr>
      <w:r>
        <w:separator/>
      </w:r>
    </w:p>
  </w:endnote>
  <w:endnote w:type="continuationSeparator" w:id="0">
    <w:p w:rsidR="00F07207" w:rsidRDefault="00F07207" w:rsidP="00BF326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07" w:rsidRDefault="00F07207" w:rsidP="00BF3267">
      <w:pPr>
        <w:rPr>
          <w:rFonts w:hint="eastAsia"/>
        </w:rPr>
      </w:pPr>
      <w:r w:rsidRPr="00BF3267">
        <w:rPr>
          <w:color w:val="000000"/>
        </w:rPr>
        <w:separator/>
      </w:r>
    </w:p>
  </w:footnote>
  <w:footnote w:type="continuationSeparator" w:id="0">
    <w:p w:rsidR="00F07207" w:rsidRDefault="00F07207" w:rsidP="00BF326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146"/>
    <w:multiLevelType w:val="hybridMultilevel"/>
    <w:tmpl w:val="F498EC12"/>
    <w:lvl w:ilvl="0" w:tplc="981CD9EC">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9D0BDD"/>
    <w:multiLevelType w:val="hybridMultilevel"/>
    <w:tmpl w:val="123AC0A8"/>
    <w:lvl w:ilvl="0" w:tplc="981CD9E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BF3267"/>
    <w:rsid w:val="0000139F"/>
    <w:rsid w:val="000878AD"/>
    <w:rsid w:val="00095A0B"/>
    <w:rsid w:val="000A08F9"/>
    <w:rsid w:val="000C6ABE"/>
    <w:rsid w:val="000D73C0"/>
    <w:rsid w:val="000E10C3"/>
    <w:rsid w:val="00124CC1"/>
    <w:rsid w:val="00153EF7"/>
    <w:rsid w:val="00172BE7"/>
    <w:rsid w:val="001A78F8"/>
    <w:rsid w:val="001B360A"/>
    <w:rsid w:val="001B3850"/>
    <w:rsid w:val="001D2618"/>
    <w:rsid w:val="00290155"/>
    <w:rsid w:val="002A109B"/>
    <w:rsid w:val="002C1B5F"/>
    <w:rsid w:val="002C6316"/>
    <w:rsid w:val="00312C32"/>
    <w:rsid w:val="0035099B"/>
    <w:rsid w:val="003553D1"/>
    <w:rsid w:val="00393588"/>
    <w:rsid w:val="003940FD"/>
    <w:rsid w:val="003B4E09"/>
    <w:rsid w:val="003D3551"/>
    <w:rsid w:val="003E7F86"/>
    <w:rsid w:val="003F4663"/>
    <w:rsid w:val="00401182"/>
    <w:rsid w:val="004237B8"/>
    <w:rsid w:val="00447E9E"/>
    <w:rsid w:val="00496BC0"/>
    <w:rsid w:val="004A4E88"/>
    <w:rsid w:val="004D6FA9"/>
    <w:rsid w:val="004E18A2"/>
    <w:rsid w:val="004F4609"/>
    <w:rsid w:val="00503747"/>
    <w:rsid w:val="00542A53"/>
    <w:rsid w:val="00544DE6"/>
    <w:rsid w:val="00557410"/>
    <w:rsid w:val="00585D30"/>
    <w:rsid w:val="005A625F"/>
    <w:rsid w:val="005D339E"/>
    <w:rsid w:val="005D4657"/>
    <w:rsid w:val="006F0324"/>
    <w:rsid w:val="00720AD7"/>
    <w:rsid w:val="007311C0"/>
    <w:rsid w:val="007546EA"/>
    <w:rsid w:val="00790BAF"/>
    <w:rsid w:val="007C42C4"/>
    <w:rsid w:val="007F1709"/>
    <w:rsid w:val="00804EFD"/>
    <w:rsid w:val="00814767"/>
    <w:rsid w:val="00825BCF"/>
    <w:rsid w:val="008635AC"/>
    <w:rsid w:val="008A2A45"/>
    <w:rsid w:val="008B2AA4"/>
    <w:rsid w:val="008C2438"/>
    <w:rsid w:val="008D7A1A"/>
    <w:rsid w:val="0090509A"/>
    <w:rsid w:val="00907AD4"/>
    <w:rsid w:val="0091235D"/>
    <w:rsid w:val="00924AB7"/>
    <w:rsid w:val="009C43DB"/>
    <w:rsid w:val="009F0EEA"/>
    <w:rsid w:val="00A37F02"/>
    <w:rsid w:val="00AA3649"/>
    <w:rsid w:val="00AB3EA7"/>
    <w:rsid w:val="00AF27F7"/>
    <w:rsid w:val="00B768F5"/>
    <w:rsid w:val="00BD48D1"/>
    <w:rsid w:val="00BE4D4B"/>
    <w:rsid w:val="00BF3267"/>
    <w:rsid w:val="00BF41A4"/>
    <w:rsid w:val="00C05817"/>
    <w:rsid w:val="00C30686"/>
    <w:rsid w:val="00C66295"/>
    <w:rsid w:val="00CA2412"/>
    <w:rsid w:val="00CB0AE4"/>
    <w:rsid w:val="00CE1F4D"/>
    <w:rsid w:val="00CF2A45"/>
    <w:rsid w:val="00D44B83"/>
    <w:rsid w:val="00D7041D"/>
    <w:rsid w:val="00DB43E5"/>
    <w:rsid w:val="00DB78E5"/>
    <w:rsid w:val="00E31DCA"/>
    <w:rsid w:val="00E62073"/>
    <w:rsid w:val="00E809B5"/>
    <w:rsid w:val="00E81E3B"/>
    <w:rsid w:val="00EA4B5D"/>
    <w:rsid w:val="00F07207"/>
    <w:rsid w:val="00F738B3"/>
    <w:rsid w:val="00F92B68"/>
    <w:rsid w:val="00FC5977"/>
    <w:rsid w:val="00FD2D79"/>
    <w:rsid w:val="00FE5D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D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F3267"/>
  </w:style>
  <w:style w:type="paragraph" w:customStyle="1" w:styleId="Heading">
    <w:name w:val="Heading"/>
    <w:basedOn w:val="Standard"/>
    <w:next w:val="Textbody"/>
    <w:rsid w:val="00BF3267"/>
    <w:pPr>
      <w:keepNext/>
      <w:spacing w:before="240" w:after="120"/>
    </w:pPr>
    <w:rPr>
      <w:rFonts w:ascii="Liberation Sans" w:eastAsia="Microsoft YaHei" w:hAnsi="Liberation Sans"/>
      <w:sz w:val="28"/>
      <w:szCs w:val="28"/>
    </w:rPr>
  </w:style>
  <w:style w:type="paragraph" w:customStyle="1" w:styleId="Textbody">
    <w:name w:val="Text body"/>
    <w:basedOn w:val="Standard"/>
    <w:rsid w:val="00BF3267"/>
    <w:pPr>
      <w:spacing w:after="140" w:line="288" w:lineRule="auto"/>
    </w:pPr>
  </w:style>
  <w:style w:type="paragraph" w:styleId="Liste">
    <w:name w:val="List"/>
    <w:basedOn w:val="Textbody"/>
    <w:rsid w:val="00BF3267"/>
  </w:style>
  <w:style w:type="paragraph" w:customStyle="1" w:styleId="Caption">
    <w:name w:val="Caption"/>
    <w:basedOn w:val="Standard"/>
    <w:rsid w:val="00BF3267"/>
    <w:pPr>
      <w:suppressLineNumbers/>
      <w:spacing w:before="120" w:after="120"/>
    </w:pPr>
    <w:rPr>
      <w:i/>
      <w:iCs/>
    </w:rPr>
  </w:style>
  <w:style w:type="paragraph" w:customStyle="1" w:styleId="Index">
    <w:name w:val="Index"/>
    <w:basedOn w:val="Standard"/>
    <w:rsid w:val="00BF3267"/>
    <w:pPr>
      <w:suppressLineNumbers/>
    </w:pPr>
  </w:style>
  <w:style w:type="paragraph" w:customStyle="1" w:styleId="Titreprincipal">
    <w:name w:val="Titre principal"/>
    <w:basedOn w:val="Normal"/>
    <w:next w:val="Normal"/>
    <w:uiPriority w:val="10"/>
    <w:qFormat/>
    <w:rsid w:val="008C2438"/>
    <w:pPr>
      <w:widowControl/>
      <w:pBdr>
        <w:bottom w:val="single" w:sz="8" w:space="4" w:color="4F81BD"/>
      </w:pBdr>
      <w:autoSpaceDN/>
      <w:spacing w:after="300"/>
      <w:contextualSpacing/>
      <w:textAlignment w:val="auto"/>
    </w:pPr>
    <w:rPr>
      <w:rFonts w:asciiTheme="majorHAnsi" w:eastAsiaTheme="majorEastAsia" w:hAnsiTheme="majorHAnsi" w:cstheme="majorBidi"/>
      <w:color w:val="17365D" w:themeColor="text2" w:themeShade="BF"/>
      <w:spacing w:val="5"/>
      <w:kern w:val="0"/>
      <w:sz w:val="52"/>
      <w:szCs w:val="52"/>
      <w:lang w:eastAsia="en-US" w:bidi="ar-SA"/>
    </w:rPr>
  </w:style>
  <w:style w:type="paragraph" w:styleId="Textedebulles">
    <w:name w:val="Balloon Text"/>
    <w:basedOn w:val="Normal"/>
    <w:link w:val="TextedebullesCar"/>
    <w:uiPriority w:val="99"/>
    <w:semiHidden/>
    <w:unhideWhenUsed/>
    <w:rsid w:val="008A2A45"/>
    <w:rPr>
      <w:rFonts w:ascii="Tahoma" w:hAnsi="Tahoma"/>
      <w:sz w:val="16"/>
      <w:szCs w:val="14"/>
    </w:rPr>
  </w:style>
  <w:style w:type="character" w:customStyle="1" w:styleId="TextedebullesCar">
    <w:name w:val="Texte de bulles Car"/>
    <w:basedOn w:val="Policepardfaut"/>
    <w:link w:val="Textedebulles"/>
    <w:uiPriority w:val="99"/>
    <w:semiHidden/>
    <w:rsid w:val="008A2A45"/>
    <w:rPr>
      <w:rFonts w:ascii="Tahoma" w:hAnsi="Tahoma"/>
      <w:sz w:val="16"/>
      <w:szCs w:val="14"/>
    </w:rPr>
  </w:style>
  <w:style w:type="paragraph" w:styleId="Paragraphedeliste">
    <w:name w:val="List Paragraph"/>
    <w:basedOn w:val="Normal"/>
    <w:uiPriority w:val="34"/>
    <w:qFormat/>
    <w:rsid w:val="004D6FA9"/>
    <w:pPr>
      <w:ind w:left="720"/>
      <w:contextualSpacing/>
    </w:pPr>
    <w:rPr>
      <w:szCs w:val="21"/>
    </w:rPr>
  </w:style>
  <w:style w:type="table" w:styleId="Grilledutableau">
    <w:name w:val="Table Grid"/>
    <w:basedOn w:val="TableauNormal"/>
    <w:uiPriority w:val="59"/>
    <w:rsid w:val="00DB78E5"/>
    <w:pPr>
      <w:widowControl/>
      <w:suppressAutoHyphens w:val="0"/>
      <w:autoSpaceDN/>
      <w:spacing w:beforeAutospacing="1"/>
      <w:textAlignment w:val="auto"/>
    </w:pPr>
    <w:rPr>
      <w:rFonts w:asciiTheme="minorHAnsi" w:eastAsiaTheme="minorHAnsi" w:hAnsiTheme="minorHAnsi" w:cstheme="minorBidi"/>
      <w:kern w:val="0"/>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7604671177msonormal">
    <w:name w:val="yiv7604671177msonormal"/>
    <w:basedOn w:val="Normal"/>
    <w:rsid w:val="002C631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Textedelespacerserv">
    <w:name w:val="Placeholder Text"/>
    <w:basedOn w:val="Policepardfaut"/>
    <w:uiPriority w:val="99"/>
    <w:semiHidden/>
    <w:rsid w:val="00AA3649"/>
    <w:rPr>
      <w:color w:val="808080"/>
    </w:rPr>
  </w:style>
  <w:style w:type="paragraph" w:customStyle="1" w:styleId="Default">
    <w:name w:val="Default"/>
    <w:rsid w:val="00FE5DAE"/>
    <w:pPr>
      <w:widowControl/>
      <w:suppressAutoHyphens w:val="0"/>
      <w:autoSpaceDE w:val="0"/>
      <w:adjustRightInd w:val="0"/>
      <w:textAlignment w:val="auto"/>
    </w:pPr>
    <w:rPr>
      <w:rFonts w:ascii="Arial" w:hAnsi="Arial" w:cs="Arial"/>
      <w:color w:val="000000"/>
      <w:kern w:val="0"/>
      <w:lang w:bidi="ar-SA"/>
    </w:rPr>
  </w:style>
</w:styles>
</file>

<file path=word/webSettings.xml><?xml version="1.0" encoding="utf-8"?>
<w:webSettings xmlns:r="http://schemas.openxmlformats.org/officeDocument/2006/relationships" xmlns:w="http://schemas.openxmlformats.org/wordprocessingml/2006/main">
  <w:divs>
    <w:div w:id="191462521">
      <w:bodyDiv w:val="1"/>
      <w:marLeft w:val="0"/>
      <w:marRight w:val="0"/>
      <w:marTop w:val="0"/>
      <w:marBottom w:val="0"/>
      <w:divBdr>
        <w:top w:val="none" w:sz="0" w:space="0" w:color="auto"/>
        <w:left w:val="none" w:sz="0" w:space="0" w:color="auto"/>
        <w:bottom w:val="none" w:sz="0" w:space="0" w:color="auto"/>
        <w:right w:val="none" w:sz="0" w:space="0" w:color="auto"/>
      </w:divBdr>
    </w:div>
    <w:div w:id="58388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1284</Words>
  <Characters>7066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QUENTIN</dc:creator>
  <cp:lastModifiedBy>J0365425</cp:lastModifiedBy>
  <cp:revision>3</cp:revision>
  <dcterms:created xsi:type="dcterms:W3CDTF">2016-04-19T08:07:00Z</dcterms:created>
  <dcterms:modified xsi:type="dcterms:W3CDTF">2016-04-19T08:07:00Z</dcterms:modified>
</cp:coreProperties>
</file>