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DF" w:rsidRPr="003637DF" w:rsidRDefault="003637DF" w:rsidP="00656566">
      <w:pPr>
        <w:spacing w:line="276" w:lineRule="auto"/>
        <w:rPr>
          <w:rFonts w:ascii="Garamond" w:hAnsi="Garamond"/>
          <w:i/>
          <w:sz w:val="24"/>
          <w:szCs w:val="24"/>
          <w:lang w:val="en-US"/>
        </w:rPr>
      </w:pPr>
      <w:proofErr w:type="spellStart"/>
      <w:proofErr w:type="gramStart"/>
      <w:r w:rsidRPr="003637DF">
        <w:rPr>
          <w:rFonts w:ascii="Garamond" w:hAnsi="Garamond" w:cs="CMR10"/>
          <w:sz w:val="24"/>
          <w:szCs w:val="24"/>
          <w:lang w:val="en-US"/>
        </w:rPr>
        <w:t>Burtraw</w:t>
      </w:r>
      <w:proofErr w:type="spellEnd"/>
      <w:r w:rsidRPr="003637DF">
        <w:rPr>
          <w:rFonts w:ascii="Garamond" w:hAnsi="Garamond" w:cs="CMR10"/>
          <w:sz w:val="24"/>
          <w:szCs w:val="24"/>
          <w:lang w:val="en-US"/>
        </w:rPr>
        <w:t xml:space="preserve"> D.</w:t>
      </w:r>
      <w:r w:rsidR="005221A2" w:rsidRPr="003637DF">
        <w:rPr>
          <w:rFonts w:ascii="Garamond" w:hAnsi="Garamond" w:cs="CMR10"/>
          <w:sz w:val="24"/>
          <w:szCs w:val="24"/>
          <w:lang w:val="en-US"/>
        </w:rPr>
        <w:t xml:space="preserve">, </w:t>
      </w:r>
      <w:proofErr w:type="spellStart"/>
      <w:r w:rsidRPr="003637DF">
        <w:rPr>
          <w:rFonts w:ascii="Garamond" w:hAnsi="Garamond" w:cs="CMR10"/>
          <w:sz w:val="24"/>
          <w:szCs w:val="24"/>
          <w:lang w:val="en-US"/>
        </w:rPr>
        <w:t>Löfgren</w:t>
      </w:r>
      <w:proofErr w:type="spellEnd"/>
      <w:r w:rsidR="005221A2" w:rsidRPr="003637DF">
        <w:rPr>
          <w:rFonts w:ascii="Garamond" w:hAnsi="Garamond" w:cs="CMR10"/>
          <w:sz w:val="24"/>
          <w:szCs w:val="24"/>
          <w:lang w:val="en-US"/>
        </w:rPr>
        <w:t xml:space="preserve"> </w:t>
      </w:r>
      <w:r w:rsidRPr="003637DF">
        <w:rPr>
          <w:rFonts w:ascii="Garamond" w:hAnsi="Garamond" w:cs="CMR10"/>
          <w:sz w:val="24"/>
          <w:szCs w:val="24"/>
          <w:lang w:val="en-US"/>
        </w:rPr>
        <w:t>A</w:t>
      </w:r>
      <w:r w:rsidR="005221A2" w:rsidRPr="003637DF">
        <w:rPr>
          <w:rFonts w:ascii="Garamond" w:hAnsi="Garamond" w:cs="CMR10"/>
          <w:sz w:val="24"/>
          <w:szCs w:val="24"/>
          <w:lang w:val="en-US"/>
        </w:rPr>
        <w:t xml:space="preserve">., </w:t>
      </w:r>
      <w:r w:rsidRPr="003637DF">
        <w:rPr>
          <w:rFonts w:ascii="Garamond" w:hAnsi="Garamond" w:cs="CMR10"/>
          <w:sz w:val="24"/>
          <w:szCs w:val="24"/>
          <w:lang w:val="en-US"/>
        </w:rPr>
        <w:t>Zetterberg</w:t>
      </w:r>
      <w:r w:rsidR="005221A2" w:rsidRPr="003637DF">
        <w:rPr>
          <w:rFonts w:ascii="Garamond" w:hAnsi="Garamond" w:cs="CMR10"/>
          <w:sz w:val="24"/>
          <w:szCs w:val="24"/>
          <w:lang w:val="en-US"/>
        </w:rPr>
        <w:t xml:space="preserve"> </w:t>
      </w:r>
      <w:r w:rsidRPr="003637DF">
        <w:rPr>
          <w:rFonts w:ascii="Garamond" w:hAnsi="Garamond" w:cs="CMR10"/>
          <w:sz w:val="24"/>
          <w:szCs w:val="24"/>
          <w:lang w:val="en-US"/>
        </w:rPr>
        <w:t>L.</w:t>
      </w:r>
      <w:r w:rsidR="005221A2" w:rsidRPr="003637DF">
        <w:rPr>
          <w:rFonts w:ascii="Garamond" w:hAnsi="Garamond" w:cs="CMR10"/>
          <w:sz w:val="24"/>
          <w:szCs w:val="24"/>
          <w:lang w:val="en-US"/>
        </w:rPr>
        <w:t>;</w:t>
      </w:r>
      <w:r w:rsidRPr="003637DF">
        <w:rPr>
          <w:rFonts w:ascii="Garamond" w:hAnsi="Garamond" w:cs="CMR10"/>
          <w:sz w:val="24"/>
          <w:szCs w:val="24"/>
          <w:lang w:val="en-US"/>
        </w:rPr>
        <w:t xml:space="preserve"> 2014.</w:t>
      </w:r>
      <w:proofErr w:type="gramEnd"/>
      <w:r w:rsidRPr="003637DF">
        <w:rPr>
          <w:rFonts w:ascii="Garamond" w:hAnsi="Garamond" w:cs="CMR10"/>
          <w:sz w:val="24"/>
          <w:szCs w:val="24"/>
          <w:lang w:val="en-US"/>
        </w:rPr>
        <w:t xml:space="preserve"> </w:t>
      </w:r>
      <w:proofErr w:type="gramStart"/>
      <w:r w:rsidRPr="003637DF">
        <w:rPr>
          <w:rFonts w:ascii="Garamond" w:hAnsi="Garamond"/>
          <w:i/>
          <w:sz w:val="24"/>
          <w:szCs w:val="24"/>
          <w:lang w:val="en-US"/>
        </w:rPr>
        <w:t>“</w:t>
      </w:r>
      <w:r w:rsidRPr="003637DF">
        <w:rPr>
          <w:rFonts w:ascii="Garamond" w:hAnsi="Garamond"/>
          <w:i/>
          <w:sz w:val="24"/>
          <w:szCs w:val="24"/>
          <w:u w:val="single"/>
          <w:lang w:val="en-US"/>
        </w:rPr>
        <w:t>Fixing Emissions Trading Imbalances with a Price Floor</w:t>
      </w:r>
      <w:r w:rsidR="005221A2" w:rsidRPr="003637DF">
        <w:rPr>
          <w:rFonts w:ascii="Garamond" w:hAnsi="Garamond"/>
          <w:i/>
          <w:sz w:val="24"/>
          <w:szCs w:val="24"/>
          <w:lang w:val="en-US"/>
        </w:rPr>
        <w:t>”</w:t>
      </w:r>
      <w:r w:rsidR="0070661B" w:rsidRPr="003637DF">
        <w:rPr>
          <w:rFonts w:ascii="Garamond" w:hAnsi="Garamond"/>
          <w:i/>
          <w:sz w:val="24"/>
          <w:szCs w:val="24"/>
          <w:lang w:val="en-US"/>
        </w:rPr>
        <w:t xml:space="preserve">, </w:t>
      </w:r>
      <w:r w:rsidRPr="003637DF">
        <w:rPr>
          <w:rFonts w:ascii="Garamond" w:hAnsi="Garamond"/>
          <w:i/>
          <w:sz w:val="24"/>
          <w:szCs w:val="24"/>
          <w:lang w:val="en-US"/>
        </w:rPr>
        <w:t>University of Gothenburg</w:t>
      </w:r>
      <w:r w:rsidR="0070661B" w:rsidRPr="003637DF">
        <w:rPr>
          <w:rFonts w:ascii="Garamond" w:hAnsi="Garamond"/>
          <w:i/>
          <w:sz w:val="24"/>
          <w:szCs w:val="24"/>
          <w:lang w:val="en-US"/>
        </w:rPr>
        <w:t xml:space="preserve">, </w:t>
      </w:r>
      <w:r w:rsidRPr="003637DF">
        <w:rPr>
          <w:rFonts w:ascii="Garamond" w:hAnsi="Garamond"/>
          <w:i/>
          <w:sz w:val="24"/>
          <w:szCs w:val="24"/>
          <w:lang w:val="en-US"/>
        </w:rPr>
        <w:t>IVL Swedish Environmental Research Institute</w:t>
      </w:r>
      <w:r w:rsidR="0070661B" w:rsidRPr="003637DF">
        <w:rPr>
          <w:rFonts w:ascii="Garamond" w:hAnsi="Garamond"/>
          <w:i/>
          <w:sz w:val="24"/>
          <w:szCs w:val="24"/>
          <w:lang w:val="en-US"/>
        </w:rPr>
        <w:t>.</w:t>
      </w:r>
      <w:bookmarkStart w:id="0" w:name="_GoBack"/>
      <w:bookmarkEnd w:id="0"/>
      <w:proofErr w:type="gramEnd"/>
    </w:p>
    <w:p w:rsidR="00026037" w:rsidRDefault="00026037" w:rsidP="00C20D5F">
      <w:pPr>
        <w:autoSpaceDE w:val="0"/>
        <w:autoSpaceDN w:val="0"/>
        <w:adjustRightInd w:val="0"/>
        <w:spacing w:before="0" w:beforeAutospacing="0" w:line="276" w:lineRule="auto"/>
        <w:jc w:val="both"/>
        <w:rPr>
          <w:rFonts w:ascii="Garamond" w:hAnsi="Garamond" w:cs="CMR10"/>
          <w:sz w:val="24"/>
          <w:szCs w:val="24"/>
          <w:highlight w:val="yellow"/>
          <w:lang w:val="en-US"/>
        </w:rPr>
      </w:pPr>
    </w:p>
    <w:p w:rsidR="00026037" w:rsidRDefault="00026037" w:rsidP="00C20D5F">
      <w:pPr>
        <w:autoSpaceDE w:val="0"/>
        <w:autoSpaceDN w:val="0"/>
        <w:adjustRightInd w:val="0"/>
        <w:spacing w:before="0" w:beforeAutospacing="0" w:line="276" w:lineRule="auto"/>
        <w:jc w:val="both"/>
        <w:rPr>
          <w:rFonts w:ascii="Garamond" w:hAnsi="Garamond" w:cs="CMR10"/>
          <w:sz w:val="24"/>
          <w:szCs w:val="24"/>
          <w:lang w:val="en-US"/>
        </w:rPr>
      </w:pPr>
      <w:r w:rsidRPr="00026037">
        <w:rPr>
          <w:rFonts w:ascii="Garamond" w:hAnsi="Garamond" w:cs="CMR10"/>
          <w:sz w:val="24"/>
          <w:szCs w:val="24"/>
          <w:lang w:val="en-US"/>
        </w:rPr>
        <w:t xml:space="preserve">This </w:t>
      </w:r>
      <w:r>
        <w:rPr>
          <w:rFonts w:ascii="Garamond" w:hAnsi="Garamond" w:cs="CMR10"/>
          <w:sz w:val="24"/>
          <w:szCs w:val="24"/>
          <w:lang w:val="en-US"/>
        </w:rPr>
        <w:t xml:space="preserve">paper </w:t>
      </w:r>
      <w:r w:rsidR="008710ED">
        <w:rPr>
          <w:rFonts w:ascii="Garamond" w:hAnsi="Garamond" w:cs="CMR10"/>
          <w:sz w:val="24"/>
          <w:szCs w:val="24"/>
          <w:lang w:val="en-US"/>
        </w:rPr>
        <w:t>summariz</w:t>
      </w:r>
      <w:r>
        <w:rPr>
          <w:rFonts w:ascii="Garamond" w:hAnsi="Garamond" w:cs="CMR10"/>
          <w:sz w:val="24"/>
          <w:szCs w:val="24"/>
          <w:lang w:val="en-US"/>
        </w:rPr>
        <w:t>es</w:t>
      </w:r>
      <w:r w:rsidR="008710ED">
        <w:rPr>
          <w:rFonts w:ascii="Garamond" w:hAnsi="Garamond" w:cs="CMR10"/>
          <w:sz w:val="24"/>
          <w:szCs w:val="24"/>
          <w:lang w:val="en-US"/>
        </w:rPr>
        <w:t xml:space="preserve"> the recent evolution of the EUAs price and </w:t>
      </w:r>
      <w:r w:rsidR="0068425C">
        <w:rPr>
          <w:rFonts w:ascii="Garamond" w:hAnsi="Garamond" w:cs="CMR10"/>
          <w:sz w:val="24"/>
          <w:szCs w:val="24"/>
          <w:lang w:val="en-US"/>
        </w:rPr>
        <w:t>provides</w:t>
      </w:r>
      <w:r w:rsidR="008710ED">
        <w:rPr>
          <w:rFonts w:ascii="Garamond" w:hAnsi="Garamond" w:cs="CMR10"/>
          <w:sz w:val="24"/>
          <w:szCs w:val="24"/>
          <w:lang w:val="en-US"/>
        </w:rPr>
        <w:t xml:space="preserve"> the main</w:t>
      </w:r>
      <w:r w:rsidR="0068425C">
        <w:rPr>
          <w:rFonts w:ascii="Garamond" w:hAnsi="Garamond" w:cs="CMR10"/>
          <w:sz w:val="24"/>
          <w:szCs w:val="24"/>
          <w:lang w:val="en-US"/>
        </w:rPr>
        <w:t xml:space="preserve"> elements explaining</w:t>
      </w:r>
      <w:r w:rsidR="008710ED">
        <w:rPr>
          <w:rFonts w:ascii="Garamond" w:hAnsi="Garamond" w:cs="CMR10"/>
          <w:sz w:val="24"/>
          <w:szCs w:val="24"/>
          <w:lang w:val="en-US"/>
        </w:rPr>
        <w:t xml:space="preserve"> their current oversupply. </w:t>
      </w:r>
    </w:p>
    <w:p w:rsidR="00486026" w:rsidRDefault="00486026" w:rsidP="00C20D5F">
      <w:pPr>
        <w:autoSpaceDE w:val="0"/>
        <w:autoSpaceDN w:val="0"/>
        <w:adjustRightInd w:val="0"/>
        <w:spacing w:before="0" w:beforeAutospacing="0" w:line="276" w:lineRule="auto"/>
        <w:jc w:val="both"/>
        <w:rPr>
          <w:rFonts w:ascii="Garamond" w:hAnsi="Garamond" w:cs="CMR10"/>
          <w:sz w:val="24"/>
          <w:szCs w:val="24"/>
          <w:lang w:val="en-US"/>
        </w:rPr>
      </w:pPr>
    </w:p>
    <w:p w:rsidR="008710ED" w:rsidRDefault="008710ED" w:rsidP="00C20D5F">
      <w:pPr>
        <w:autoSpaceDE w:val="0"/>
        <w:autoSpaceDN w:val="0"/>
        <w:adjustRightInd w:val="0"/>
        <w:spacing w:before="0" w:beforeAutospacing="0" w:line="276" w:lineRule="auto"/>
        <w:jc w:val="both"/>
        <w:rPr>
          <w:rFonts w:ascii="Garamond" w:hAnsi="Garamond" w:cs="CMR10"/>
          <w:sz w:val="24"/>
          <w:szCs w:val="24"/>
          <w:lang w:val="en-US"/>
        </w:rPr>
      </w:pPr>
      <w:r>
        <w:rPr>
          <w:rFonts w:ascii="Garamond" w:hAnsi="Garamond" w:cs="CMR10"/>
          <w:sz w:val="24"/>
          <w:szCs w:val="24"/>
          <w:lang w:val="en-US"/>
        </w:rPr>
        <w:t>After draw</w:t>
      </w:r>
      <w:r w:rsidR="0068425C">
        <w:rPr>
          <w:rFonts w:ascii="Garamond" w:hAnsi="Garamond" w:cs="CMR10"/>
          <w:sz w:val="24"/>
          <w:szCs w:val="24"/>
          <w:lang w:val="en-US"/>
        </w:rPr>
        <w:t>ing a short description of the detrimental</w:t>
      </w:r>
      <w:r>
        <w:rPr>
          <w:rFonts w:ascii="Garamond" w:hAnsi="Garamond" w:cs="CMR10"/>
          <w:sz w:val="24"/>
          <w:szCs w:val="24"/>
          <w:lang w:val="en-US"/>
        </w:rPr>
        <w:t xml:space="preserve"> impacts </w:t>
      </w:r>
      <w:r w:rsidR="0068425C">
        <w:rPr>
          <w:rFonts w:ascii="Garamond" w:hAnsi="Garamond" w:cs="CMR10"/>
          <w:sz w:val="24"/>
          <w:szCs w:val="24"/>
          <w:lang w:val="en-US"/>
        </w:rPr>
        <w:t>of</w:t>
      </w:r>
      <w:r>
        <w:rPr>
          <w:rFonts w:ascii="Garamond" w:hAnsi="Garamond" w:cs="CMR10"/>
          <w:sz w:val="24"/>
          <w:szCs w:val="24"/>
          <w:lang w:val="en-US"/>
        </w:rPr>
        <w:t xml:space="preserve"> the very low price of EUAs (see page 1: </w:t>
      </w:r>
      <w:r w:rsidR="00486026">
        <w:rPr>
          <w:rFonts w:ascii="Garamond" w:hAnsi="Garamond" w:cs="CMR10"/>
          <w:sz w:val="24"/>
          <w:szCs w:val="24"/>
          <w:lang w:val="en-US"/>
        </w:rPr>
        <w:t>“</w:t>
      </w:r>
      <w:r w:rsidR="00486026" w:rsidRPr="00486026">
        <w:rPr>
          <w:rFonts w:ascii="Garamond" w:hAnsi="Garamond" w:cs="CMR10"/>
          <w:sz w:val="24"/>
          <w:szCs w:val="24"/>
          <w:lang w:val="en-US"/>
        </w:rPr>
        <w:t>the current prices in the market are an order magnitude lower than the estimated €32 to €63 needed to motivate investments necessary to achieve the European Union’s emissions reduction target</w:t>
      </w:r>
      <w:r w:rsidR="00486026">
        <w:rPr>
          <w:rFonts w:ascii="Garamond" w:hAnsi="Garamond" w:cs="CMR10"/>
          <w:sz w:val="24"/>
          <w:szCs w:val="24"/>
          <w:lang w:val="en-US"/>
        </w:rPr>
        <w:t>”</w:t>
      </w:r>
      <w:r w:rsidR="0068425C">
        <w:rPr>
          <w:rFonts w:ascii="Garamond" w:hAnsi="Garamond" w:cs="CMR10"/>
          <w:sz w:val="24"/>
          <w:szCs w:val="24"/>
          <w:lang w:val="en-US"/>
        </w:rPr>
        <w:t>)</w:t>
      </w:r>
      <w:r>
        <w:rPr>
          <w:rFonts w:ascii="Garamond" w:hAnsi="Garamond" w:cs="CMR10"/>
          <w:sz w:val="24"/>
          <w:szCs w:val="24"/>
          <w:lang w:val="en-US"/>
        </w:rPr>
        <w:t xml:space="preserve">, the paper explores </w:t>
      </w:r>
      <w:r w:rsidR="00486026">
        <w:rPr>
          <w:rFonts w:ascii="Garamond" w:hAnsi="Garamond" w:cs="CMR10"/>
          <w:sz w:val="24"/>
          <w:szCs w:val="24"/>
          <w:lang w:val="en-US"/>
        </w:rPr>
        <w:t>several</w:t>
      </w:r>
      <w:r>
        <w:rPr>
          <w:rFonts w:ascii="Garamond" w:hAnsi="Garamond" w:cs="CMR10"/>
          <w:sz w:val="24"/>
          <w:szCs w:val="24"/>
          <w:lang w:val="en-US"/>
        </w:rPr>
        <w:t xml:space="preserve"> price regulation mechanisms that </w:t>
      </w:r>
      <w:r w:rsidR="0068425C">
        <w:rPr>
          <w:rFonts w:ascii="Garamond" w:hAnsi="Garamond" w:cs="CMR10"/>
          <w:sz w:val="24"/>
          <w:szCs w:val="24"/>
          <w:lang w:val="en-US"/>
        </w:rPr>
        <w:t>may</w:t>
      </w:r>
      <w:r w:rsidR="003637DF">
        <w:rPr>
          <w:rFonts w:ascii="Garamond" w:hAnsi="Garamond" w:cs="CMR10"/>
          <w:sz w:val="24"/>
          <w:szCs w:val="24"/>
          <w:lang w:val="en-US"/>
        </w:rPr>
        <w:t xml:space="preserve"> possibly</w:t>
      </w:r>
      <w:r w:rsidR="0068425C">
        <w:rPr>
          <w:rFonts w:ascii="Garamond" w:hAnsi="Garamond" w:cs="CMR10"/>
          <w:sz w:val="24"/>
          <w:szCs w:val="24"/>
          <w:lang w:val="en-US"/>
        </w:rPr>
        <w:t xml:space="preserve"> </w:t>
      </w:r>
      <w:r>
        <w:rPr>
          <w:rFonts w:ascii="Garamond" w:hAnsi="Garamond" w:cs="CMR10"/>
          <w:sz w:val="24"/>
          <w:szCs w:val="24"/>
          <w:lang w:val="en-US"/>
        </w:rPr>
        <w:t xml:space="preserve">be implemented by </w:t>
      </w:r>
      <w:r w:rsidR="00486026">
        <w:rPr>
          <w:rFonts w:ascii="Garamond" w:hAnsi="Garamond" w:cs="CMR10"/>
          <w:sz w:val="24"/>
          <w:szCs w:val="24"/>
          <w:lang w:val="en-US"/>
        </w:rPr>
        <w:t>the European Commission.</w:t>
      </w:r>
    </w:p>
    <w:p w:rsidR="00486026" w:rsidRDefault="00486026" w:rsidP="00C20D5F">
      <w:pPr>
        <w:autoSpaceDE w:val="0"/>
        <w:autoSpaceDN w:val="0"/>
        <w:adjustRightInd w:val="0"/>
        <w:spacing w:before="0" w:beforeAutospacing="0" w:line="276" w:lineRule="auto"/>
        <w:jc w:val="both"/>
        <w:rPr>
          <w:rFonts w:ascii="Garamond" w:hAnsi="Garamond" w:cs="CMR10"/>
          <w:sz w:val="24"/>
          <w:szCs w:val="24"/>
          <w:lang w:val="en-US"/>
        </w:rPr>
      </w:pPr>
    </w:p>
    <w:p w:rsidR="00486026" w:rsidRDefault="00486026" w:rsidP="00C20D5F">
      <w:pPr>
        <w:autoSpaceDE w:val="0"/>
        <w:autoSpaceDN w:val="0"/>
        <w:adjustRightInd w:val="0"/>
        <w:spacing w:before="0" w:beforeAutospacing="0" w:line="276" w:lineRule="auto"/>
        <w:jc w:val="both"/>
        <w:rPr>
          <w:rFonts w:ascii="Garamond" w:hAnsi="Garamond" w:cs="CMR10"/>
          <w:sz w:val="24"/>
          <w:szCs w:val="24"/>
          <w:lang w:val="en-US"/>
        </w:rPr>
      </w:pPr>
      <w:r>
        <w:rPr>
          <w:rFonts w:ascii="Garamond" w:hAnsi="Garamond" w:cs="CMR10"/>
          <w:sz w:val="24"/>
          <w:szCs w:val="24"/>
          <w:lang w:val="en-US"/>
        </w:rPr>
        <w:t xml:space="preserve">A carbon price floor is shown to be the best solution as regards many </w:t>
      </w:r>
      <w:r w:rsidR="0068425C">
        <w:rPr>
          <w:rFonts w:ascii="Garamond" w:hAnsi="Garamond" w:cs="CMR10"/>
          <w:sz w:val="24"/>
          <w:szCs w:val="24"/>
          <w:lang w:val="en-US"/>
        </w:rPr>
        <w:t>criteria</w:t>
      </w:r>
      <w:r>
        <w:rPr>
          <w:rFonts w:ascii="Garamond" w:hAnsi="Garamond" w:cs="CMR10"/>
          <w:sz w:val="24"/>
          <w:szCs w:val="24"/>
          <w:lang w:val="en-US"/>
        </w:rPr>
        <w:t xml:space="preserve">, </w:t>
      </w:r>
      <w:r w:rsidR="00FF4DFA">
        <w:rPr>
          <w:rFonts w:ascii="Garamond" w:hAnsi="Garamond" w:cs="CMR10"/>
          <w:sz w:val="24"/>
          <w:szCs w:val="24"/>
          <w:lang w:val="en-US"/>
        </w:rPr>
        <w:t xml:space="preserve">including the fact that it is a </w:t>
      </w:r>
      <w:r w:rsidR="00FF4DFA" w:rsidRPr="00FF4DFA">
        <w:rPr>
          <w:rFonts w:ascii="Garamond" w:hAnsi="Garamond" w:cs="CMR10"/>
          <w:sz w:val="24"/>
          <w:szCs w:val="24"/>
          <w:lang w:val="en-US"/>
        </w:rPr>
        <w:t>nondiscretionary and rule-based approach</w:t>
      </w:r>
      <w:r w:rsidR="00FF4DFA">
        <w:rPr>
          <w:rFonts w:ascii="Garamond" w:hAnsi="Garamond" w:cs="CMR10"/>
          <w:sz w:val="24"/>
          <w:szCs w:val="24"/>
          <w:lang w:val="en-US"/>
        </w:rPr>
        <w:t>, which according to the author “</w:t>
      </w:r>
      <w:r w:rsidR="00FF4DFA" w:rsidRPr="00FF4DFA">
        <w:rPr>
          <w:rFonts w:ascii="Garamond" w:hAnsi="Garamond" w:cs="CMR10"/>
          <w:sz w:val="24"/>
          <w:szCs w:val="24"/>
          <w:lang w:val="en-US"/>
        </w:rPr>
        <w:t>helps markets to better anticipate future changes</w:t>
      </w:r>
      <w:r w:rsidR="00FF4DFA">
        <w:rPr>
          <w:rFonts w:ascii="Garamond" w:hAnsi="Garamond" w:cs="CMR10"/>
          <w:sz w:val="24"/>
          <w:szCs w:val="24"/>
          <w:lang w:val="en-US"/>
        </w:rPr>
        <w:t>” and “</w:t>
      </w:r>
      <w:r w:rsidR="00FF4DFA" w:rsidRPr="00FF4DFA">
        <w:rPr>
          <w:rFonts w:ascii="Garamond" w:hAnsi="Garamond" w:cs="CMR10"/>
          <w:sz w:val="24"/>
          <w:szCs w:val="24"/>
          <w:lang w:val="en-US"/>
        </w:rPr>
        <w:t>offers more transparency than many alternatives</w:t>
      </w:r>
      <w:r w:rsidR="00FF4DFA">
        <w:rPr>
          <w:rFonts w:ascii="Garamond" w:hAnsi="Garamond" w:cs="CMR10"/>
          <w:sz w:val="24"/>
          <w:szCs w:val="24"/>
          <w:lang w:val="en-US"/>
        </w:rPr>
        <w:t>” (page 2).</w:t>
      </w:r>
    </w:p>
    <w:p w:rsidR="00FF4DFA" w:rsidRDefault="00FF4DFA" w:rsidP="00C20D5F">
      <w:pPr>
        <w:autoSpaceDE w:val="0"/>
        <w:autoSpaceDN w:val="0"/>
        <w:adjustRightInd w:val="0"/>
        <w:spacing w:before="0" w:beforeAutospacing="0" w:line="276" w:lineRule="auto"/>
        <w:jc w:val="both"/>
        <w:rPr>
          <w:rFonts w:ascii="Garamond" w:hAnsi="Garamond" w:cs="CMR10"/>
          <w:sz w:val="24"/>
          <w:szCs w:val="24"/>
          <w:lang w:val="en-US"/>
        </w:rPr>
      </w:pPr>
    </w:p>
    <w:p w:rsidR="00FF4DFA" w:rsidRDefault="00FF4DFA" w:rsidP="00C20D5F">
      <w:pPr>
        <w:autoSpaceDE w:val="0"/>
        <w:autoSpaceDN w:val="0"/>
        <w:adjustRightInd w:val="0"/>
        <w:spacing w:before="0" w:beforeAutospacing="0" w:line="276" w:lineRule="auto"/>
        <w:jc w:val="both"/>
        <w:rPr>
          <w:rFonts w:ascii="Garamond" w:hAnsi="Garamond" w:cs="CMR10"/>
          <w:color w:val="000000" w:themeColor="text1"/>
          <w:sz w:val="24"/>
          <w:szCs w:val="24"/>
          <w:lang w:val="en-US"/>
        </w:rPr>
      </w:pPr>
      <w:r w:rsidRPr="0068425C">
        <w:rPr>
          <w:rFonts w:ascii="Garamond" w:hAnsi="Garamond" w:cs="CMR10"/>
          <w:color w:val="000000" w:themeColor="text1"/>
          <w:sz w:val="24"/>
          <w:szCs w:val="24"/>
          <w:lang w:val="en-US"/>
        </w:rPr>
        <w:t xml:space="preserve">Other price regulations mechanisms </w:t>
      </w:r>
      <w:r w:rsidR="0068425C" w:rsidRPr="0068425C">
        <w:rPr>
          <w:rFonts w:ascii="Garamond" w:hAnsi="Garamond" w:cs="CMR10"/>
          <w:color w:val="000000" w:themeColor="text1"/>
          <w:sz w:val="24"/>
          <w:szCs w:val="24"/>
          <w:lang w:val="en-US"/>
        </w:rPr>
        <w:t>discussed</w:t>
      </w:r>
      <w:r w:rsidRPr="0068425C">
        <w:rPr>
          <w:rFonts w:ascii="Garamond" w:hAnsi="Garamond" w:cs="CMR10"/>
          <w:color w:val="000000" w:themeColor="text1"/>
          <w:sz w:val="24"/>
          <w:szCs w:val="24"/>
          <w:lang w:val="en-US"/>
        </w:rPr>
        <w:t xml:space="preserve"> by the author </w:t>
      </w:r>
      <w:r w:rsidR="0068425C" w:rsidRPr="0068425C">
        <w:rPr>
          <w:rFonts w:ascii="Garamond" w:hAnsi="Garamond" w:cs="CMR10"/>
          <w:color w:val="000000" w:themeColor="text1"/>
          <w:sz w:val="24"/>
          <w:szCs w:val="24"/>
          <w:lang w:val="en-US"/>
        </w:rPr>
        <w:t>include</w:t>
      </w:r>
      <w:r w:rsidRPr="0068425C">
        <w:rPr>
          <w:rFonts w:ascii="Garamond" w:hAnsi="Garamond" w:cs="CMR10"/>
          <w:color w:val="000000" w:themeColor="text1"/>
          <w:sz w:val="24"/>
          <w:szCs w:val="24"/>
          <w:lang w:val="en-US"/>
        </w:rPr>
        <w:t xml:space="preserve"> the implementation of a price stability reserve</w:t>
      </w:r>
      <w:r w:rsidR="0068425C" w:rsidRPr="0068425C">
        <w:rPr>
          <w:rFonts w:ascii="Garamond" w:hAnsi="Garamond" w:cs="CMR10"/>
          <w:color w:val="000000" w:themeColor="text1"/>
          <w:sz w:val="24"/>
          <w:szCs w:val="24"/>
          <w:lang w:val="en-US"/>
        </w:rPr>
        <w:t xml:space="preserve"> - which according to the author “is more administratively complicated [than a carbon price floor] without corresponding benefits”</w:t>
      </w:r>
      <w:r w:rsidRPr="0068425C">
        <w:rPr>
          <w:rFonts w:ascii="Garamond" w:hAnsi="Garamond" w:cs="CMR10"/>
          <w:color w:val="000000" w:themeColor="text1"/>
          <w:sz w:val="24"/>
          <w:szCs w:val="24"/>
          <w:lang w:val="en-US"/>
        </w:rPr>
        <w:t xml:space="preserve">, </w:t>
      </w:r>
      <w:r w:rsidR="0068425C">
        <w:rPr>
          <w:rFonts w:ascii="Garamond" w:hAnsi="Garamond" w:cs="CMR10"/>
          <w:color w:val="000000" w:themeColor="text1"/>
          <w:sz w:val="24"/>
          <w:szCs w:val="24"/>
          <w:lang w:val="en-US"/>
        </w:rPr>
        <w:t xml:space="preserve">as well as </w:t>
      </w:r>
      <w:r w:rsidRPr="0068425C">
        <w:rPr>
          <w:rFonts w:ascii="Garamond" w:hAnsi="Garamond" w:cs="CMR10"/>
          <w:color w:val="000000" w:themeColor="text1"/>
          <w:sz w:val="24"/>
          <w:szCs w:val="24"/>
          <w:lang w:val="en-US"/>
        </w:rPr>
        <w:t>revising emissions targets or retiring allowances extending the scope to other sectors, or limiting</w:t>
      </w:r>
      <w:r w:rsidR="0068425C">
        <w:rPr>
          <w:rFonts w:ascii="Garamond" w:hAnsi="Garamond" w:cs="CMR10"/>
          <w:color w:val="000000" w:themeColor="text1"/>
          <w:sz w:val="24"/>
          <w:szCs w:val="24"/>
          <w:lang w:val="en-US"/>
        </w:rPr>
        <w:t xml:space="preserve"> access to international credit. According to the author, these last three options </w:t>
      </w:r>
      <w:r w:rsidR="0068425C" w:rsidRPr="0068425C">
        <w:rPr>
          <w:rFonts w:ascii="Garamond" w:hAnsi="Garamond" w:cs="CMR10"/>
          <w:color w:val="000000" w:themeColor="text1"/>
          <w:sz w:val="24"/>
          <w:szCs w:val="24"/>
          <w:lang w:val="en-US"/>
        </w:rPr>
        <w:t xml:space="preserve">would </w:t>
      </w:r>
      <w:r w:rsidR="0068425C">
        <w:rPr>
          <w:rFonts w:ascii="Garamond" w:hAnsi="Garamond" w:cs="CMR10"/>
          <w:color w:val="000000" w:themeColor="text1"/>
          <w:sz w:val="24"/>
          <w:szCs w:val="24"/>
          <w:lang w:val="en-US"/>
        </w:rPr>
        <w:t>“</w:t>
      </w:r>
      <w:r w:rsidR="0068425C" w:rsidRPr="0068425C">
        <w:rPr>
          <w:rFonts w:ascii="Garamond" w:hAnsi="Garamond" w:cs="CMR10"/>
          <w:color w:val="000000" w:themeColor="text1"/>
          <w:sz w:val="24"/>
          <w:szCs w:val="24"/>
          <w:lang w:val="en-US"/>
        </w:rPr>
        <w:t>introduce new information and change the balance of supply and demand in the market, creating uncertainty for investors eyeing future price trends</w:t>
      </w:r>
      <w:r w:rsidR="0068425C">
        <w:rPr>
          <w:rFonts w:ascii="Garamond" w:hAnsi="Garamond" w:cs="CMR10"/>
          <w:color w:val="000000" w:themeColor="text1"/>
          <w:sz w:val="24"/>
          <w:szCs w:val="24"/>
          <w:lang w:val="en-US"/>
        </w:rPr>
        <w:t>”, thus creating “</w:t>
      </w:r>
      <w:r w:rsidR="0068425C" w:rsidRPr="0068425C">
        <w:rPr>
          <w:rFonts w:ascii="Garamond" w:hAnsi="Garamond" w:cs="CMR10"/>
          <w:color w:val="000000" w:themeColor="text1"/>
          <w:sz w:val="24"/>
          <w:szCs w:val="24"/>
          <w:lang w:val="en-US"/>
        </w:rPr>
        <w:t>number of adverse incentives</w:t>
      </w:r>
      <w:r w:rsidR="0068425C">
        <w:rPr>
          <w:rFonts w:ascii="Garamond" w:hAnsi="Garamond" w:cs="CMR10"/>
          <w:color w:val="000000" w:themeColor="text1"/>
          <w:sz w:val="24"/>
          <w:szCs w:val="24"/>
          <w:lang w:val="en-US"/>
        </w:rPr>
        <w:t>”.</w:t>
      </w:r>
    </w:p>
    <w:p w:rsidR="003637DF" w:rsidRPr="0068425C" w:rsidRDefault="003637DF" w:rsidP="00C20D5F">
      <w:pPr>
        <w:autoSpaceDE w:val="0"/>
        <w:autoSpaceDN w:val="0"/>
        <w:adjustRightInd w:val="0"/>
        <w:spacing w:before="0" w:beforeAutospacing="0" w:line="276" w:lineRule="auto"/>
        <w:jc w:val="both"/>
        <w:rPr>
          <w:rFonts w:ascii="Garamond" w:hAnsi="Garamond" w:cs="CMR10"/>
          <w:color w:val="000000" w:themeColor="text1"/>
          <w:sz w:val="24"/>
          <w:szCs w:val="24"/>
          <w:lang w:val="en-US"/>
        </w:rPr>
      </w:pPr>
    </w:p>
    <w:p w:rsidR="003637DF" w:rsidRPr="00973665" w:rsidRDefault="00C20D5F" w:rsidP="003637DF">
      <w:pPr>
        <w:spacing w:line="276" w:lineRule="auto"/>
        <w:jc w:val="center"/>
        <w:rPr>
          <w:rFonts w:ascii="Garamond" w:hAnsi="Garamond"/>
          <w:b/>
          <w:lang w:val="en-US"/>
        </w:rPr>
      </w:pPr>
      <w:r w:rsidRPr="00973665">
        <w:rPr>
          <w:rFonts w:ascii="Garamond" w:hAnsi="Garamond"/>
          <w:b/>
          <w:lang w:val="en-US"/>
        </w:rPr>
        <w:t xml:space="preserve">Arguments for and against a carbon price </w:t>
      </w:r>
      <w:r w:rsidR="00973665">
        <w:rPr>
          <w:rFonts w:ascii="Garamond" w:hAnsi="Garamond"/>
          <w:b/>
          <w:lang w:val="en-US"/>
        </w:rPr>
        <w:t>floor</w:t>
      </w:r>
    </w:p>
    <w:tbl>
      <w:tblPr>
        <w:tblStyle w:val="Grilledutableau"/>
        <w:tblW w:w="0" w:type="auto"/>
        <w:tblLook w:val="04A0" w:firstRow="1" w:lastRow="0" w:firstColumn="1" w:lastColumn="0" w:noHBand="0" w:noVBand="1"/>
      </w:tblPr>
      <w:tblGrid>
        <w:gridCol w:w="4606"/>
        <w:gridCol w:w="4606"/>
      </w:tblGrid>
      <w:tr w:rsidR="00614771" w:rsidRPr="00651980" w:rsidTr="00614771">
        <w:tc>
          <w:tcPr>
            <w:tcW w:w="4606" w:type="dxa"/>
          </w:tcPr>
          <w:p w:rsidR="00614771" w:rsidRPr="00973665" w:rsidRDefault="00614771" w:rsidP="00614771">
            <w:pPr>
              <w:jc w:val="center"/>
              <w:rPr>
                <w:rFonts w:ascii="Garamond" w:hAnsi="Garamond"/>
                <w:b/>
                <w:lang w:val="en-US"/>
              </w:rPr>
            </w:pPr>
            <w:r w:rsidRPr="00973665">
              <w:rPr>
                <w:rFonts w:ascii="Garamond" w:hAnsi="Garamond"/>
                <w:b/>
                <w:lang w:val="en-US"/>
              </w:rPr>
              <w:t>FOR</w:t>
            </w:r>
          </w:p>
        </w:tc>
        <w:tc>
          <w:tcPr>
            <w:tcW w:w="4606" w:type="dxa"/>
          </w:tcPr>
          <w:p w:rsidR="00614771" w:rsidRPr="00973665" w:rsidRDefault="00614771" w:rsidP="00614771">
            <w:pPr>
              <w:jc w:val="center"/>
              <w:rPr>
                <w:rFonts w:ascii="Garamond" w:hAnsi="Garamond"/>
                <w:b/>
                <w:lang w:val="en-US"/>
              </w:rPr>
            </w:pPr>
            <w:r w:rsidRPr="00973665">
              <w:rPr>
                <w:rFonts w:ascii="Garamond" w:hAnsi="Garamond"/>
                <w:b/>
                <w:lang w:val="en-US"/>
              </w:rPr>
              <w:t>AGAINST</w:t>
            </w:r>
          </w:p>
        </w:tc>
      </w:tr>
      <w:tr w:rsidR="00614771" w:rsidRPr="003637DF" w:rsidTr="00614771">
        <w:tc>
          <w:tcPr>
            <w:tcW w:w="4606" w:type="dxa"/>
          </w:tcPr>
          <w:p w:rsidR="00614771" w:rsidRPr="003637DF" w:rsidRDefault="00651980" w:rsidP="00EA6530">
            <w:pPr>
              <w:jc w:val="both"/>
              <w:rPr>
                <w:rFonts w:ascii="Garamond" w:hAnsi="Garamond"/>
                <w:highlight w:val="yellow"/>
                <w:lang w:val="en-US"/>
              </w:rPr>
            </w:pPr>
            <w:r w:rsidRPr="003637DF">
              <w:rPr>
                <w:rFonts w:ascii="Garamond" w:hAnsi="Garamond"/>
                <w:lang w:val="en-US"/>
              </w:rPr>
              <w:t>“</w:t>
            </w:r>
            <w:proofErr w:type="gramStart"/>
            <w:r w:rsidRPr="003637DF">
              <w:rPr>
                <w:rFonts w:ascii="Garamond" w:hAnsi="Garamond"/>
                <w:lang w:val="en-US"/>
              </w:rPr>
              <w:t>the</w:t>
            </w:r>
            <w:proofErr w:type="gramEnd"/>
            <w:r w:rsidRPr="003637DF">
              <w:rPr>
                <w:rFonts w:ascii="Garamond" w:hAnsi="Garamond"/>
                <w:lang w:val="en-US"/>
              </w:rPr>
              <w:t xml:space="preserve"> current prices in the market are an order magnitude lower than the estimated €32 to €63 needed to motivate investments necessary to achieve the European Union’s emissions reduction target.” (page 1)</w:t>
            </w:r>
          </w:p>
        </w:tc>
        <w:tc>
          <w:tcPr>
            <w:tcW w:w="4606" w:type="dxa"/>
          </w:tcPr>
          <w:p w:rsidR="00614771" w:rsidRPr="003637DF" w:rsidRDefault="00614771" w:rsidP="00EA6530">
            <w:pPr>
              <w:jc w:val="both"/>
              <w:rPr>
                <w:rFonts w:ascii="Garamond" w:hAnsi="Garamond"/>
                <w:highlight w:val="yellow"/>
                <w:lang w:val="en-US"/>
              </w:rPr>
            </w:pPr>
          </w:p>
        </w:tc>
      </w:tr>
      <w:tr w:rsidR="00651980" w:rsidRPr="003637DF" w:rsidTr="00614771">
        <w:tc>
          <w:tcPr>
            <w:tcW w:w="4606" w:type="dxa"/>
          </w:tcPr>
          <w:p w:rsidR="00651980" w:rsidRPr="003637DF" w:rsidRDefault="00651980" w:rsidP="00651980">
            <w:pPr>
              <w:rPr>
                <w:rFonts w:ascii="Garamond" w:hAnsi="Garamond"/>
                <w:highlight w:val="lightGray"/>
                <w:lang w:val="en-US"/>
              </w:rPr>
            </w:pPr>
            <w:r w:rsidRPr="003637DF">
              <w:rPr>
                <w:rFonts w:ascii="Garamond" w:hAnsi="Garamond"/>
                <w:lang w:val="en-US"/>
              </w:rPr>
              <w:t>“When a market clearing price dips below the price floor, a portion of allowances is held back from being sold; this restricts supply and supports healthier, more stable market prices.” (page 1)</w:t>
            </w:r>
          </w:p>
        </w:tc>
        <w:tc>
          <w:tcPr>
            <w:tcW w:w="4606" w:type="dxa"/>
          </w:tcPr>
          <w:p w:rsidR="00651980" w:rsidRPr="003637DF" w:rsidRDefault="00651980">
            <w:pPr>
              <w:rPr>
                <w:rFonts w:ascii="Garamond" w:hAnsi="Garamond"/>
                <w:highlight w:val="yellow"/>
                <w:lang w:val="en-US"/>
              </w:rPr>
            </w:pPr>
          </w:p>
        </w:tc>
      </w:tr>
      <w:tr w:rsidR="00651980" w:rsidRPr="003637DF" w:rsidTr="00614771">
        <w:tc>
          <w:tcPr>
            <w:tcW w:w="4606" w:type="dxa"/>
          </w:tcPr>
          <w:p w:rsidR="00651980" w:rsidRPr="003637DF" w:rsidRDefault="00651980" w:rsidP="00651980">
            <w:pPr>
              <w:rPr>
                <w:rFonts w:ascii="Garamond" w:hAnsi="Garamond"/>
                <w:lang w:val="en-US"/>
              </w:rPr>
            </w:pPr>
            <w:r w:rsidRPr="003637DF">
              <w:rPr>
                <w:rFonts w:ascii="Garamond" w:hAnsi="Garamond"/>
                <w:lang w:val="en-US"/>
              </w:rPr>
              <w:t>“Detractors of the price floor idea have mischaracterized it as a tax, but it is certainly not a tax. A large portion of emissions allowances in the EU trading system are still given away for free, and they would not be affected. In fact, recipients of those allowances would benefit from the price support for their value as an asset in the allowance market.” (page 1)</w:t>
            </w:r>
          </w:p>
        </w:tc>
        <w:tc>
          <w:tcPr>
            <w:tcW w:w="4606" w:type="dxa"/>
          </w:tcPr>
          <w:p w:rsidR="00651980" w:rsidRPr="003637DF" w:rsidRDefault="00651980">
            <w:pPr>
              <w:rPr>
                <w:rFonts w:ascii="Garamond" w:hAnsi="Garamond"/>
                <w:highlight w:val="yellow"/>
                <w:lang w:val="en-US"/>
              </w:rPr>
            </w:pPr>
          </w:p>
        </w:tc>
      </w:tr>
      <w:tr w:rsidR="00651980" w:rsidRPr="003637DF" w:rsidTr="00614771">
        <w:tc>
          <w:tcPr>
            <w:tcW w:w="4606" w:type="dxa"/>
          </w:tcPr>
          <w:p w:rsidR="00651980" w:rsidRPr="003637DF" w:rsidRDefault="00651980" w:rsidP="00651980">
            <w:pPr>
              <w:rPr>
                <w:rFonts w:ascii="Garamond" w:hAnsi="Garamond"/>
                <w:lang w:val="en-US"/>
              </w:rPr>
            </w:pPr>
            <w:r w:rsidRPr="003637DF">
              <w:rPr>
                <w:rFonts w:ascii="Garamond" w:hAnsi="Garamond"/>
                <w:lang w:val="en-US"/>
              </w:rPr>
              <w:t xml:space="preserve">“One of the biggest benefits of a price floor is its nondiscretionary and rule-based approach, which helps markets to better anticipate future changes. Because it can automatically adjust the strictness of </w:t>
            </w:r>
            <w:r w:rsidRPr="003637DF">
              <w:rPr>
                <w:rFonts w:ascii="Garamond" w:hAnsi="Garamond"/>
                <w:lang w:val="en-US"/>
              </w:rPr>
              <w:lastRenderedPageBreak/>
              <w:t>its parameters without waiting for administrative action, a price floor offers more transparency than many alternatives.” (page 2)</w:t>
            </w:r>
          </w:p>
        </w:tc>
        <w:tc>
          <w:tcPr>
            <w:tcW w:w="4606" w:type="dxa"/>
          </w:tcPr>
          <w:p w:rsidR="00651980" w:rsidRPr="003637DF" w:rsidRDefault="00651980">
            <w:pPr>
              <w:rPr>
                <w:rFonts w:ascii="Garamond" w:hAnsi="Garamond"/>
                <w:highlight w:val="yellow"/>
                <w:lang w:val="en-US"/>
              </w:rPr>
            </w:pPr>
          </w:p>
        </w:tc>
      </w:tr>
      <w:tr w:rsidR="00651980" w:rsidRPr="003637DF" w:rsidTr="00614771">
        <w:tc>
          <w:tcPr>
            <w:tcW w:w="4606" w:type="dxa"/>
          </w:tcPr>
          <w:p w:rsidR="00651980" w:rsidRPr="003637DF" w:rsidRDefault="00651980" w:rsidP="00651980">
            <w:pPr>
              <w:rPr>
                <w:rFonts w:ascii="Garamond" w:hAnsi="Garamond"/>
                <w:lang w:val="en-US"/>
              </w:rPr>
            </w:pPr>
            <w:r w:rsidRPr="003637DF">
              <w:rPr>
                <w:rFonts w:ascii="Garamond" w:hAnsi="Garamond"/>
                <w:lang w:val="en-US"/>
              </w:rPr>
              <w:lastRenderedPageBreak/>
              <w:t>“The [carbon-price floor] mechanism also encourages participants to invest in low-emitting technologies by ensuring the minimum value of emissions reductions.” (page 2)</w:t>
            </w:r>
          </w:p>
        </w:tc>
        <w:tc>
          <w:tcPr>
            <w:tcW w:w="4606" w:type="dxa"/>
          </w:tcPr>
          <w:p w:rsidR="00651980" w:rsidRPr="003637DF" w:rsidRDefault="00651980">
            <w:pPr>
              <w:rPr>
                <w:rFonts w:ascii="Garamond" w:hAnsi="Garamond"/>
                <w:highlight w:val="yellow"/>
                <w:lang w:val="en-US"/>
              </w:rPr>
            </w:pPr>
          </w:p>
        </w:tc>
      </w:tr>
    </w:tbl>
    <w:p w:rsidR="003637DF" w:rsidRPr="003637DF" w:rsidRDefault="003637DF" w:rsidP="00EA6530">
      <w:pPr>
        <w:spacing w:line="276" w:lineRule="auto"/>
        <w:jc w:val="center"/>
        <w:rPr>
          <w:rFonts w:ascii="Garamond" w:hAnsi="Garamond"/>
          <w:b/>
          <w:lang w:val="en-US"/>
        </w:rPr>
      </w:pPr>
    </w:p>
    <w:p w:rsidR="003637DF" w:rsidRPr="003637DF" w:rsidRDefault="003637DF" w:rsidP="00EA6530">
      <w:pPr>
        <w:spacing w:line="276" w:lineRule="auto"/>
        <w:jc w:val="center"/>
        <w:rPr>
          <w:rFonts w:ascii="Garamond" w:hAnsi="Garamond"/>
          <w:b/>
          <w:lang w:val="en-US"/>
        </w:rPr>
      </w:pPr>
    </w:p>
    <w:p w:rsidR="00EA6530" w:rsidRPr="003637DF" w:rsidRDefault="00EA6530" w:rsidP="00EA6530">
      <w:pPr>
        <w:spacing w:line="276" w:lineRule="auto"/>
        <w:jc w:val="center"/>
        <w:rPr>
          <w:rFonts w:ascii="Garamond" w:hAnsi="Garamond"/>
          <w:b/>
          <w:lang w:val="en-US"/>
        </w:rPr>
      </w:pPr>
      <w:r w:rsidRPr="003637DF">
        <w:rPr>
          <w:rFonts w:ascii="Garamond" w:hAnsi="Garamond"/>
          <w:b/>
          <w:lang w:val="en-US"/>
        </w:rPr>
        <w:t>Arguments for a price regulation mechan</w:t>
      </w:r>
      <w:r w:rsidR="00263EA5" w:rsidRPr="003637DF">
        <w:rPr>
          <w:rFonts w:ascii="Garamond" w:hAnsi="Garamond"/>
          <w:b/>
          <w:lang w:val="en-US"/>
        </w:rPr>
        <w:t xml:space="preserve">ism based on </w:t>
      </w:r>
      <w:r w:rsidR="00BA6ED1" w:rsidRPr="003637DF">
        <w:rPr>
          <w:rFonts w:ascii="Garamond" w:hAnsi="Garamond"/>
          <w:b/>
          <w:lang w:val="en-US"/>
        </w:rPr>
        <w:t>the implementation of a price stability reserve</w:t>
      </w:r>
      <w:r w:rsidR="00263EA5" w:rsidRPr="003637DF">
        <w:rPr>
          <w:rFonts w:ascii="Garamond" w:hAnsi="Garamond"/>
          <w:b/>
          <w:lang w:val="en-US"/>
        </w:rPr>
        <w:t xml:space="preserve"> </w:t>
      </w:r>
    </w:p>
    <w:tbl>
      <w:tblPr>
        <w:tblStyle w:val="Grilledutableau"/>
        <w:tblW w:w="0" w:type="auto"/>
        <w:tblLook w:val="04A0" w:firstRow="1" w:lastRow="0" w:firstColumn="1" w:lastColumn="0" w:noHBand="0" w:noVBand="1"/>
      </w:tblPr>
      <w:tblGrid>
        <w:gridCol w:w="4606"/>
        <w:gridCol w:w="4606"/>
      </w:tblGrid>
      <w:tr w:rsidR="00230928" w:rsidRPr="003637DF" w:rsidTr="00B4201F">
        <w:tc>
          <w:tcPr>
            <w:tcW w:w="4606" w:type="dxa"/>
          </w:tcPr>
          <w:p w:rsidR="00230928" w:rsidRPr="003637DF" w:rsidRDefault="00230928" w:rsidP="00B4201F">
            <w:pPr>
              <w:jc w:val="center"/>
              <w:rPr>
                <w:rFonts w:ascii="Garamond" w:hAnsi="Garamond"/>
                <w:b/>
                <w:lang w:val="en-US"/>
              </w:rPr>
            </w:pPr>
            <w:r w:rsidRPr="003637DF">
              <w:rPr>
                <w:rFonts w:ascii="Garamond" w:hAnsi="Garamond"/>
                <w:b/>
                <w:lang w:val="en-US"/>
              </w:rPr>
              <w:t>FOR</w:t>
            </w:r>
          </w:p>
        </w:tc>
        <w:tc>
          <w:tcPr>
            <w:tcW w:w="4606" w:type="dxa"/>
          </w:tcPr>
          <w:p w:rsidR="00230928" w:rsidRPr="003637DF" w:rsidRDefault="00230928" w:rsidP="00B4201F">
            <w:pPr>
              <w:jc w:val="center"/>
              <w:rPr>
                <w:rFonts w:ascii="Garamond" w:hAnsi="Garamond"/>
                <w:b/>
                <w:lang w:val="en-US"/>
              </w:rPr>
            </w:pPr>
            <w:r w:rsidRPr="003637DF">
              <w:rPr>
                <w:rFonts w:ascii="Garamond" w:hAnsi="Garamond"/>
                <w:b/>
                <w:lang w:val="en-US"/>
              </w:rPr>
              <w:t>AGAINST</w:t>
            </w:r>
          </w:p>
        </w:tc>
      </w:tr>
      <w:tr w:rsidR="0056229C" w:rsidRPr="003637DF" w:rsidTr="00263EA5">
        <w:tc>
          <w:tcPr>
            <w:tcW w:w="4606" w:type="dxa"/>
          </w:tcPr>
          <w:p w:rsidR="0056229C" w:rsidRPr="003637DF" w:rsidRDefault="00973665" w:rsidP="0056229C">
            <w:pPr>
              <w:autoSpaceDE w:val="0"/>
              <w:autoSpaceDN w:val="0"/>
              <w:adjustRightInd w:val="0"/>
              <w:spacing w:beforeAutospacing="0"/>
              <w:jc w:val="both"/>
              <w:rPr>
                <w:rFonts w:ascii="Garamond" w:hAnsi="Garamond" w:cs="CMR10"/>
                <w:highlight w:val="yellow"/>
                <w:lang w:val="en-US"/>
              </w:rPr>
            </w:pPr>
            <w:r w:rsidRPr="003637DF">
              <w:rPr>
                <w:rFonts w:ascii="Garamond" w:hAnsi="Garamond" w:cs="CMR10"/>
                <w:lang w:val="en-US"/>
              </w:rPr>
              <w:t>“The proposal [of a price stability reserve] is refreshing because it appears to be rule-based, and less discretionary—similar to a price floor and a step in the right direction for the EU because it provides a basis on which market participants can plan for the future” (page 2)</w:t>
            </w:r>
          </w:p>
        </w:tc>
        <w:tc>
          <w:tcPr>
            <w:tcW w:w="4606" w:type="dxa"/>
          </w:tcPr>
          <w:p w:rsidR="0056229C" w:rsidRPr="003637DF" w:rsidRDefault="00BA6ED1">
            <w:pPr>
              <w:rPr>
                <w:rFonts w:ascii="Garamond" w:hAnsi="Garamond"/>
                <w:highlight w:val="yellow"/>
                <w:lang w:val="en-US"/>
              </w:rPr>
            </w:pPr>
            <w:r w:rsidRPr="003637DF">
              <w:rPr>
                <w:rFonts w:ascii="Garamond" w:hAnsi="Garamond"/>
                <w:lang w:val="en-US"/>
              </w:rPr>
              <w:t>“ [a price stability reserve] is more administratively complicated [than a carbon price floor] without corresponding benefits”</w:t>
            </w:r>
            <w:r w:rsidR="00973665" w:rsidRPr="003637DF">
              <w:rPr>
                <w:rFonts w:ascii="Garamond" w:hAnsi="Garamond"/>
                <w:lang w:val="en-US"/>
              </w:rPr>
              <w:t xml:space="preserve"> (page 2)</w:t>
            </w:r>
          </w:p>
        </w:tc>
      </w:tr>
      <w:tr w:rsidR="00263EA5" w:rsidRPr="003637DF" w:rsidTr="00263EA5">
        <w:tc>
          <w:tcPr>
            <w:tcW w:w="4606" w:type="dxa"/>
          </w:tcPr>
          <w:p w:rsidR="00263EA5" w:rsidRPr="003637DF" w:rsidRDefault="00263EA5" w:rsidP="00FD34BA">
            <w:pPr>
              <w:autoSpaceDE w:val="0"/>
              <w:autoSpaceDN w:val="0"/>
              <w:adjustRightInd w:val="0"/>
              <w:spacing w:beforeAutospacing="0"/>
              <w:jc w:val="both"/>
              <w:rPr>
                <w:rFonts w:ascii="Garamond" w:hAnsi="Garamond" w:cs="CMR10"/>
                <w:highlight w:val="yellow"/>
                <w:lang w:val="en-US"/>
              </w:rPr>
            </w:pPr>
          </w:p>
        </w:tc>
        <w:tc>
          <w:tcPr>
            <w:tcW w:w="4606" w:type="dxa"/>
          </w:tcPr>
          <w:p w:rsidR="00263EA5" w:rsidRPr="003637DF" w:rsidRDefault="00973665">
            <w:pPr>
              <w:rPr>
                <w:rFonts w:ascii="Garamond" w:hAnsi="Garamond"/>
                <w:highlight w:val="yellow"/>
                <w:lang w:val="en-US"/>
              </w:rPr>
            </w:pPr>
            <w:r w:rsidRPr="003637DF">
              <w:rPr>
                <w:rFonts w:ascii="Garamond" w:hAnsi="Garamond"/>
                <w:lang w:val="en-US"/>
              </w:rPr>
              <w:t>“As a design principle, a trading program for a government-created intangible asset such as emissions allowances should be as transparent as possible in order to garner public acceptance and support. The stability reserve introduces unnecessary complication into the trading program.” (page 2)</w:t>
            </w:r>
          </w:p>
        </w:tc>
      </w:tr>
    </w:tbl>
    <w:p w:rsidR="005221A2" w:rsidRPr="005221A2" w:rsidRDefault="005221A2">
      <w:pPr>
        <w:rPr>
          <w:rFonts w:ascii="Garamond" w:hAnsi="Garamond"/>
          <w:lang w:val="en-US"/>
        </w:rPr>
      </w:pPr>
    </w:p>
    <w:sectPr w:rsidR="005221A2" w:rsidRPr="005221A2" w:rsidSect="008E1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MR1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7E54"/>
    <w:multiLevelType w:val="hybridMultilevel"/>
    <w:tmpl w:val="33D6E30C"/>
    <w:lvl w:ilvl="0" w:tplc="5210BB98">
      <w:numFmt w:val="bullet"/>
      <w:lvlText w:val="-"/>
      <w:lvlJc w:val="left"/>
      <w:pPr>
        <w:ind w:left="720" w:hanging="360"/>
      </w:pPr>
      <w:rPr>
        <w:rFonts w:ascii="Garamond" w:eastAsiaTheme="minorHAnsi" w:hAnsi="Garamond" w:cs="CMR1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F1"/>
    <w:rsid w:val="00026037"/>
    <w:rsid w:val="000A2ECA"/>
    <w:rsid w:val="000B4350"/>
    <w:rsid w:val="00230928"/>
    <w:rsid w:val="00263EA5"/>
    <w:rsid w:val="002F5CF1"/>
    <w:rsid w:val="003637DF"/>
    <w:rsid w:val="00486026"/>
    <w:rsid w:val="005221A2"/>
    <w:rsid w:val="0056229C"/>
    <w:rsid w:val="00614771"/>
    <w:rsid w:val="00651980"/>
    <w:rsid w:val="00656566"/>
    <w:rsid w:val="006811CE"/>
    <w:rsid w:val="0068425C"/>
    <w:rsid w:val="0070661B"/>
    <w:rsid w:val="00745ABC"/>
    <w:rsid w:val="008710ED"/>
    <w:rsid w:val="008B7C1C"/>
    <w:rsid w:val="008E13AB"/>
    <w:rsid w:val="0091263E"/>
    <w:rsid w:val="0092376D"/>
    <w:rsid w:val="00973665"/>
    <w:rsid w:val="00B57DB6"/>
    <w:rsid w:val="00BA6ED1"/>
    <w:rsid w:val="00C20D5F"/>
    <w:rsid w:val="00C3392D"/>
    <w:rsid w:val="00C33AE8"/>
    <w:rsid w:val="00EA6530"/>
    <w:rsid w:val="00FC3599"/>
    <w:rsid w:val="00FD34BA"/>
    <w:rsid w:val="00FF4D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477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C20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477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C20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7B87-8DC7-4ECD-84C1-4D9EFBD0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3251</Characters>
  <Application>Microsoft Office Word</Application>
  <DocSecurity>0</DocSecurity>
  <Lines>27</Lines>
  <Paragraphs>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setec organisation</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SETEC</cp:lastModifiedBy>
  <cp:revision>2</cp:revision>
  <dcterms:created xsi:type="dcterms:W3CDTF">2016-02-23T17:39:00Z</dcterms:created>
  <dcterms:modified xsi:type="dcterms:W3CDTF">2016-02-23T17:39:00Z</dcterms:modified>
</cp:coreProperties>
</file>